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C34" w:rsidRDefault="00EC7C34" w:rsidP="00865470">
      <w:pPr>
        <w:pStyle w:val="Heading3"/>
        <w:rPr>
          <w:sz w:val="44"/>
          <w:szCs w:val="44"/>
        </w:rPr>
      </w:pPr>
    </w:p>
    <w:p w:rsidR="00EC7C34" w:rsidRPr="00A213BB" w:rsidRDefault="00EC7C34" w:rsidP="00865470">
      <w:pPr>
        <w:pStyle w:val="Heading3"/>
        <w:rPr>
          <w:color w:val="1F497D"/>
          <w:sz w:val="44"/>
          <w:szCs w:val="44"/>
        </w:rPr>
      </w:pPr>
      <w:r>
        <w:rPr>
          <w:color w:val="1F497D"/>
          <w:sz w:val="44"/>
          <w:szCs w:val="44"/>
        </w:rPr>
        <w:t>Bond Markets Pricing a Lost Decade</w:t>
      </w:r>
    </w:p>
    <w:p w:rsidR="00EC7C34" w:rsidRDefault="00EC7C34" w:rsidP="0075572B">
      <w:pPr>
        <w:pStyle w:val="Normal-RuleTB"/>
      </w:pPr>
      <w:r>
        <w:t>New Zealand Fixed Income Monthly Commentary</w:t>
      </w:r>
    </w:p>
    <w:p w:rsidR="00EC7C34" w:rsidRPr="0037738B" w:rsidRDefault="00EC7C34" w:rsidP="0037738B">
      <w:pPr>
        <w:pStyle w:val="Normal-RuleTB"/>
      </w:pPr>
      <w:r>
        <w:t xml:space="preserve">7 </w:t>
      </w:r>
      <w:proofErr w:type="gramStart"/>
      <w:r>
        <w:t>September  2011</w:t>
      </w:r>
      <w:proofErr w:type="gramEnd"/>
      <w:r w:rsidRPr="00BB2CCF">
        <w:t xml:space="preserve">  |  </w:t>
      </w:r>
      <w:r>
        <w:t>Christian@harbourasset.co.nz    +64 4 460 8309</w:t>
      </w:r>
    </w:p>
    <w:p w:rsidR="00EC7C34" w:rsidRPr="000C6645" w:rsidRDefault="00EC7C34" w:rsidP="00947328">
      <w:pPr>
        <w:pStyle w:val="Normal-bullet"/>
        <w:numPr>
          <w:ilvl w:val="0"/>
          <w:numId w:val="2"/>
        </w:numPr>
        <w:jc w:val="both"/>
        <w:rPr>
          <w:sz w:val="28"/>
          <w:szCs w:val="28"/>
        </w:rPr>
      </w:pPr>
      <w:r>
        <w:rPr>
          <w:sz w:val="22"/>
          <w:szCs w:val="22"/>
          <w:lang w:val="en-NZ"/>
        </w:rPr>
        <w:t xml:space="preserve">The S&amp;P downgrade of the US government from AAA caused a rapid flight to safety out of equities and credit, and into government bond markets. A resolution to the European sovereign crisis remains elusive. </w:t>
      </w:r>
    </w:p>
    <w:p w:rsidR="00EC7C34" w:rsidRPr="003A7685" w:rsidRDefault="00EC7C34" w:rsidP="00947328">
      <w:pPr>
        <w:pStyle w:val="Normal-bullet"/>
        <w:numPr>
          <w:ilvl w:val="0"/>
          <w:numId w:val="2"/>
        </w:numPr>
        <w:jc w:val="both"/>
        <w:rPr>
          <w:sz w:val="28"/>
          <w:szCs w:val="28"/>
        </w:rPr>
      </w:pPr>
      <w:r w:rsidRPr="003A7685">
        <w:rPr>
          <w:sz w:val="22"/>
          <w:szCs w:val="22"/>
          <w:lang w:val="en-NZ"/>
        </w:rPr>
        <w:t>The share prices and credit spreads of financial institutions faced intense pressure, as investors feared a repeat of the 2008 GFC and the closure of interbank funding markets.   After some immunity in the first half of the year, Australasian credit markets were also driven by these US and European factors during August.</w:t>
      </w:r>
    </w:p>
    <w:p w:rsidR="00EC7C34" w:rsidRPr="000C6645" w:rsidRDefault="00EC7C34" w:rsidP="00947328">
      <w:pPr>
        <w:pStyle w:val="Normal-bullet"/>
        <w:numPr>
          <w:ilvl w:val="0"/>
          <w:numId w:val="2"/>
        </w:numPr>
        <w:jc w:val="both"/>
        <w:rPr>
          <w:sz w:val="28"/>
          <w:szCs w:val="28"/>
        </w:rPr>
      </w:pPr>
      <w:r>
        <w:rPr>
          <w:sz w:val="22"/>
          <w:szCs w:val="22"/>
          <w:lang w:val="en-NZ"/>
        </w:rPr>
        <w:t>While we expect the US economic recovery to be slow and patchy, the US 10 year government bond yields falling below 2% represents the bond market pricing a lost decade of little or no economic growth or inflation for the next 10 years.</w:t>
      </w:r>
    </w:p>
    <w:p w:rsidR="00EC7C34" w:rsidRDefault="00EC7C34" w:rsidP="00B2051F">
      <w:pPr>
        <w:pStyle w:val="Normal-bullet"/>
        <w:numPr>
          <w:ilvl w:val="0"/>
          <w:numId w:val="0"/>
        </w:numPr>
        <w:ind w:left="360"/>
        <w:jc w:val="both"/>
        <w:rPr>
          <w:sz w:val="22"/>
          <w:szCs w:val="22"/>
          <w:lang w:val="en-NZ"/>
        </w:rPr>
      </w:pPr>
    </w:p>
    <w:p w:rsidR="00EC7C34" w:rsidRPr="006D574A" w:rsidRDefault="00EC7C34" w:rsidP="00B2051F">
      <w:pPr>
        <w:pStyle w:val="Normal-bullet"/>
        <w:numPr>
          <w:ilvl w:val="0"/>
          <w:numId w:val="0"/>
        </w:numPr>
        <w:ind w:left="360"/>
        <w:jc w:val="both"/>
        <w:rPr>
          <w:b/>
          <w:bCs/>
          <w:sz w:val="22"/>
          <w:szCs w:val="22"/>
          <w:lang w:val="en-NZ"/>
        </w:rPr>
      </w:pPr>
      <w:r w:rsidRPr="006D574A">
        <w:rPr>
          <w:b/>
          <w:bCs/>
          <w:sz w:val="22"/>
          <w:szCs w:val="22"/>
          <w:lang w:val="en-NZ"/>
        </w:rPr>
        <w:t xml:space="preserve">Chart 1:   Bond Yields </w:t>
      </w:r>
      <w:proofErr w:type="gramStart"/>
      <w:r w:rsidRPr="006D574A">
        <w:rPr>
          <w:b/>
          <w:bCs/>
          <w:sz w:val="22"/>
          <w:szCs w:val="22"/>
          <w:lang w:val="en-NZ"/>
        </w:rPr>
        <w:t>Since</w:t>
      </w:r>
      <w:proofErr w:type="gramEnd"/>
      <w:r w:rsidRPr="006D574A">
        <w:rPr>
          <w:b/>
          <w:bCs/>
          <w:sz w:val="22"/>
          <w:szCs w:val="22"/>
          <w:lang w:val="en-NZ"/>
        </w:rPr>
        <w:t xml:space="preserve"> Equity Peaks</w:t>
      </w:r>
    </w:p>
    <w:p w:rsidR="00EC7C34" w:rsidRPr="003F2437" w:rsidRDefault="005D6065" w:rsidP="00B2051F">
      <w:pPr>
        <w:pStyle w:val="Normal-bullet"/>
        <w:numPr>
          <w:ilvl w:val="0"/>
          <w:numId w:val="0"/>
        </w:numPr>
        <w:ind w:left="360"/>
        <w:jc w:val="both"/>
        <w:rPr>
          <w:b/>
          <w:bCs/>
          <w:sz w:val="22"/>
          <w:szCs w:val="22"/>
          <w:lang w:val="en-NZ"/>
        </w:rPr>
      </w:pPr>
      <w:r w:rsidRPr="005D6065">
        <w:rPr>
          <w:b/>
          <w:bCs/>
          <w:noProof/>
          <w:sz w:val="22"/>
          <w:szCs w:val="22"/>
          <w:lang w:val="en-NZ" w:eastAsia="en-N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14" o:spid="_x0000_i1025" type="#_x0000_t75" style="width:471.75pt;height:198pt;visibility:visible">
            <v:imagedata r:id="rId7" o:title="" croptop="-942f" cropbottom="-2825f" cropleft="-2142f" cropright="-8703f"/>
            <o:lock v:ext="edit" aspectratio="f"/>
          </v:shape>
        </w:pict>
      </w:r>
    </w:p>
    <w:p w:rsidR="00EC7C34" w:rsidRDefault="00EC7C34" w:rsidP="00B20A93">
      <w:pPr>
        <w:ind w:firstLine="720"/>
      </w:pPr>
      <w:r w:rsidRPr="005F4D39">
        <w:rPr>
          <w:noProof/>
          <w:sz w:val="16"/>
          <w:szCs w:val="16"/>
        </w:rPr>
        <w:t>Source: Bloomberg</w:t>
      </w:r>
    </w:p>
    <w:p w:rsidR="00EC7C34" w:rsidRPr="00B2051F" w:rsidRDefault="00EC7C34" w:rsidP="00947328">
      <w:pPr>
        <w:pStyle w:val="Normal-bullet"/>
        <w:numPr>
          <w:ilvl w:val="0"/>
          <w:numId w:val="2"/>
        </w:numPr>
        <w:jc w:val="both"/>
        <w:rPr>
          <w:sz w:val="28"/>
          <w:szCs w:val="28"/>
        </w:rPr>
      </w:pPr>
      <w:r>
        <w:rPr>
          <w:sz w:val="22"/>
          <w:szCs w:val="22"/>
          <w:lang w:val="en-NZ"/>
        </w:rPr>
        <w:t xml:space="preserve">Blinded by international developments, fixed income markets in New Zealand and Australia have ignored local economic conditions, which in New Zealand’s case have been surprisingly robust through August.  </w:t>
      </w:r>
    </w:p>
    <w:p w:rsidR="00EC7C34" w:rsidRPr="003A7685" w:rsidRDefault="00EC7C34" w:rsidP="00947328">
      <w:pPr>
        <w:pStyle w:val="Normal-bullet"/>
        <w:numPr>
          <w:ilvl w:val="0"/>
          <w:numId w:val="2"/>
        </w:numPr>
        <w:jc w:val="both"/>
        <w:rPr>
          <w:sz w:val="28"/>
          <w:szCs w:val="28"/>
        </w:rPr>
      </w:pPr>
      <w:r w:rsidRPr="003A7685">
        <w:rPr>
          <w:sz w:val="22"/>
          <w:szCs w:val="22"/>
          <w:lang w:val="en-NZ"/>
        </w:rPr>
        <w:t>On a three to one ratio New Zealand companies reported better than expected earnings and had upgrades to the outlook for earnings</w:t>
      </w:r>
      <w:r>
        <w:rPr>
          <w:sz w:val="22"/>
          <w:szCs w:val="22"/>
          <w:lang w:val="en-NZ"/>
        </w:rPr>
        <w:t>.  But m</w:t>
      </w:r>
      <w:r w:rsidRPr="003A7685">
        <w:rPr>
          <w:sz w:val="22"/>
          <w:szCs w:val="22"/>
          <w:lang w:val="en-NZ"/>
        </w:rPr>
        <w:t xml:space="preserve">ost companies exposed to the Australian consumer reported poor earnings </w:t>
      </w:r>
      <w:r>
        <w:rPr>
          <w:sz w:val="22"/>
          <w:szCs w:val="22"/>
          <w:lang w:val="en-NZ"/>
        </w:rPr>
        <w:t>and under</w:t>
      </w:r>
      <w:r w:rsidRPr="003A7685">
        <w:rPr>
          <w:sz w:val="22"/>
          <w:szCs w:val="22"/>
          <w:lang w:val="en-NZ"/>
        </w:rPr>
        <w:t>-performed</w:t>
      </w:r>
      <w:r>
        <w:rPr>
          <w:sz w:val="22"/>
          <w:szCs w:val="22"/>
          <w:lang w:val="en-NZ"/>
        </w:rPr>
        <w:t>.</w:t>
      </w:r>
    </w:p>
    <w:p w:rsidR="00EC7C34" w:rsidRDefault="00EC7C34" w:rsidP="001F423E">
      <w:pPr>
        <w:pStyle w:val="Heading3"/>
        <w:rPr>
          <w:sz w:val="28"/>
          <w:szCs w:val="28"/>
        </w:rPr>
      </w:pPr>
      <w:r>
        <w:rPr>
          <w:sz w:val="28"/>
          <w:szCs w:val="28"/>
        </w:rPr>
        <w:lastRenderedPageBreak/>
        <w:t xml:space="preserve">S&amp;P downgrade proves the final catalyst </w:t>
      </w:r>
    </w:p>
    <w:p w:rsidR="00EC7C34" w:rsidRPr="007C141B" w:rsidRDefault="00EC7C34" w:rsidP="007C141B">
      <w:pPr>
        <w:pStyle w:val="Normal-bullet"/>
        <w:numPr>
          <w:ilvl w:val="0"/>
          <w:numId w:val="0"/>
        </w:numPr>
        <w:spacing w:line="300" w:lineRule="auto"/>
        <w:jc w:val="both"/>
        <w:rPr>
          <w:sz w:val="20"/>
          <w:szCs w:val="20"/>
        </w:rPr>
      </w:pPr>
      <w:r>
        <w:rPr>
          <w:sz w:val="20"/>
          <w:szCs w:val="20"/>
        </w:rPr>
        <w:t xml:space="preserve">Simmering problems in Europe and the US finally boiled over at the beginning of August, threatening a firestorm in risky assets, and leaving panicked global investors scurrying to the safety of government bonds.   S&amp;P’s decision to downgrade the US government from their AAA rating proved the final catalyst that set off the most dramatic period in markets since the eye of the GFC storm in late 2008.   </w:t>
      </w:r>
    </w:p>
    <w:p w:rsidR="00EC7C34" w:rsidRPr="007C141B" w:rsidRDefault="00EC7C34" w:rsidP="007C141B">
      <w:pPr>
        <w:pStyle w:val="Normal-bullet"/>
        <w:numPr>
          <w:ilvl w:val="0"/>
          <w:numId w:val="0"/>
        </w:numPr>
        <w:spacing w:line="300" w:lineRule="auto"/>
        <w:jc w:val="both"/>
        <w:rPr>
          <w:sz w:val="20"/>
          <w:szCs w:val="20"/>
        </w:rPr>
      </w:pPr>
      <w:r w:rsidRPr="007C141B">
        <w:rPr>
          <w:sz w:val="20"/>
          <w:szCs w:val="20"/>
        </w:rPr>
        <w:t xml:space="preserve"> </w:t>
      </w:r>
    </w:p>
    <w:p w:rsidR="00EC7C34" w:rsidRDefault="00EC7C34" w:rsidP="003E32F7">
      <w:pPr>
        <w:pStyle w:val="Normal-bullet"/>
        <w:numPr>
          <w:ilvl w:val="0"/>
          <w:numId w:val="0"/>
        </w:numPr>
        <w:spacing w:line="300" w:lineRule="auto"/>
        <w:jc w:val="both"/>
        <w:rPr>
          <w:sz w:val="20"/>
          <w:szCs w:val="20"/>
        </w:rPr>
      </w:pPr>
      <w:r>
        <w:rPr>
          <w:sz w:val="20"/>
          <w:szCs w:val="20"/>
        </w:rPr>
        <w:t xml:space="preserve">S&amp;P’s decision was not about the chance that the US government would default on its outstanding debt.  Unlike Europe, the US has its </w:t>
      </w:r>
      <w:r w:rsidRPr="007C141B">
        <w:rPr>
          <w:sz w:val="20"/>
          <w:szCs w:val="20"/>
        </w:rPr>
        <w:t>own currency, so could al</w:t>
      </w:r>
      <w:r>
        <w:rPr>
          <w:sz w:val="20"/>
          <w:szCs w:val="20"/>
        </w:rPr>
        <w:t>ways</w:t>
      </w:r>
      <w:r w:rsidRPr="007C141B">
        <w:rPr>
          <w:sz w:val="20"/>
          <w:szCs w:val="20"/>
        </w:rPr>
        <w:t xml:space="preserve"> print more money to pay </w:t>
      </w:r>
      <w:r>
        <w:rPr>
          <w:sz w:val="20"/>
          <w:szCs w:val="20"/>
        </w:rPr>
        <w:t>its</w:t>
      </w:r>
      <w:r w:rsidRPr="007C141B">
        <w:rPr>
          <w:sz w:val="20"/>
          <w:szCs w:val="20"/>
        </w:rPr>
        <w:t xml:space="preserve"> debts (a</w:t>
      </w:r>
      <w:r>
        <w:rPr>
          <w:sz w:val="20"/>
          <w:szCs w:val="20"/>
        </w:rPr>
        <w:t>ll issued in USDs); and</w:t>
      </w:r>
      <w:r w:rsidRPr="007C141B">
        <w:rPr>
          <w:sz w:val="20"/>
          <w:szCs w:val="20"/>
        </w:rPr>
        <w:t xml:space="preserve"> they have the privileged position </w:t>
      </w:r>
      <w:r>
        <w:rPr>
          <w:sz w:val="20"/>
          <w:szCs w:val="20"/>
        </w:rPr>
        <w:t>as the world's reserve currency</w:t>
      </w:r>
      <w:r w:rsidRPr="007C141B">
        <w:rPr>
          <w:sz w:val="20"/>
          <w:szCs w:val="20"/>
        </w:rPr>
        <w:t xml:space="preserve"> so plenty of </w:t>
      </w:r>
      <w:r>
        <w:rPr>
          <w:sz w:val="20"/>
          <w:szCs w:val="20"/>
        </w:rPr>
        <w:t xml:space="preserve">investors </w:t>
      </w:r>
      <w:r w:rsidRPr="007C141B">
        <w:rPr>
          <w:sz w:val="20"/>
          <w:szCs w:val="20"/>
        </w:rPr>
        <w:t>are obliged to hold US dollars.</w:t>
      </w:r>
      <w:r>
        <w:rPr>
          <w:sz w:val="20"/>
          <w:szCs w:val="20"/>
        </w:rPr>
        <w:t xml:space="preserve">   Rather, S&amp;P’s decision was designed as a wake-up call to US politicians to get their fiscal house in order, and not take advantage of their position at the centre of the financial system.</w:t>
      </w:r>
    </w:p>
    <w:p w:rsidR="00EC7C34" w:rsidRDefault="00EC7C34" w:rsidP="003E32F7">
      <w:pPr>
        <w:pStyle w:val="Normal-bullet"/>
        <w:numPr>
          <w:ilvl w:val="0"/>
          <w:numId w:val="0"/>
        </w:numPr>
        <w:spacing w:line="300" w:lineRule="auto"/>
        <w:jc w:val="both"/>
        <w:rPr>
          <w:sz w:val="20"/>
          <w:szCs w:val="20"/>
        </w:rPr>
      </w:pPr>
    </w:p>
    <w:p w:rsidR="00EC7C34" w:rsidRDefault="00EC7C34" w:rsidP="003E32F7">
      <w:pPr>
        <w:pStyle w:val="Normal-bullet"/>
        <w:numPr>
          <w:ilvl w:val="0"/>
          <w:numId w:val="0"/>
        </w:numPr>
        <w:spacing w:line="300" w:lineRule="auto"/>
        <w:jc w:val="both"/>
        <w:rPr>
          <w:sz w:val="20"/>
          <w:szCs w:val="20"/>
        </w:rPr>
      </w:pPr>
      <w:r>
        <w:rPr>
          <w:sz w:val="20"/>
          <w:szCs w:val="20"/>
        </w:rPr>
        <w:t>Set alongside a background of the European sovereign crisis and stalling US macroeconomic data, the S&amp;P downgrade created a sense of panic in all risky asset classes.  It reminded jittery investors that</w:t>
      </w:r>
      <w:r w:rsidRPr="007C141B">
        <w:rPr>
          <w:sz w:val="20"/>
          <w:szCs w:val="20"/>
        </w:rPr>
        <w:t xml:space="preserve"> </w:t>
      </w:r>
      <w:r>
        <w:rPr>
          <w:sz w:val="20"/>
          <w:szCs w:val="20"/>
        </w:rPr>
        <w:t xml:space="preserve">the </w:t>
      </w:r>
      <w:r w:rsidRPr="007C141B">
        <w:rPr>
          <w:sz w:val="20"/>
          <w:szCs w:val="20"/>
        </w:rPr>
        <w:t>developed world is going through a weak patch as it recovers from</w:t>
      </w:r>
      <w:r>
        <w:rPr>
          <w:sz w:val="20"/>
          <w:szCs w:val="20"/>
        </w:rPr>
        <w:t xml:space="preserve"> the excesses of the last decade.  An extremely low reading of the Philadelphia Fed’s PMI Manufacturing index (which turned out to be a poor reading on nationwide ISM index) poured fuel on this fire.  And financial institutions were put under the spotlight as markets opened their playbooks from 2008 and began to guard against the closure of interbank funding markets. </w:t>
      </w:r>
    </w:p>
    <w:p w:rsidR="00EC7C34" w:rsidRDefault="00EC7C34" w:rsidP="00B20A93">
      <w:pPr>
        <w:pStyle w:val="Normal-bullet"/>
        <w:numPr>
          <w:ilvl w:val="0"/>
          <w:numId w:val="0"/>
        </w:numPr>
        <w:jc w:val="both"/>
        <w:rPr>
          <w:b/>
          <w:bCs/>
          <w:sz w:val="22"/>
          <w:szCs w:val="22"/>
          <w:lang w:val="en-NZ"/>
        </w:rPr>
      </w:pPr>
    </w:p>
    <w:p w:rsidR="00EC7C34" w:rsidRPr="006D574A" w:rsidRDefault="00EC7C34" w:rsidP="00B20A93">
      <w:pPr>
        <w:pStyle w:val="Normal-bullet"/>
        <w:numPr>
          <w:ilvl w:val="0"/>
          <w:numId w:val="0"/>
        </w:numPr>
        <w:jc w:val="both"/>
        <w:rPr>
          <w:b/>
          <w:bCs/>
          <w:sz w:val="22"/>
          <w:szCs w:val="22"/>
          <w:lang w:val="en-NZ"/>
        </w:rPr>
      </w:pPr>
      <w:r w:rsidRPr="006D574A">
        <w:rPr>
          <w:b/>
          <w:bCs/>
          <w:sz w:val="22"/>
          <w:szCs w:val="22"/>
          <w:lang w:val="en-NZ"/>
        </w:rPr>
        <w:t xml:space="preserve">Chart </w:t>
      </w:r>
      <w:r>
        <w:rPr>
          <w:b/>
          <w:bCs/>
          <w:sz w:val="22"/>
          <w:szCs w:val="22"/>
          <w:lang w:val="en-NZ"/>
        </w:rPr>
        <w:t>2</w:t>
      </w:r>
      <w:r w:rsidRPr="006D574A">
        <w:rPr>
          <w:b/>
          <w:bCs/>
          <w:sz w:val="22"/>
          <w:szCs w:val="22"/>
          <w:lang w:val="en-NZ"/>
        </w:rPr>
        <w:t xml:space="preserve">:   </w:t>
      </w:r>
      <w:r>
        <w:rPr>
          <w:b/>
          <w:bCs/>
          <w:sz w:val="22"/>
          <w:szCs w:val="22"/>
          <w:lang w:val="en-NZ"/>
        </w:rPr>
        <w:t>US Manufacturing Indices</w:t>
      </w:r>
    </w:p>
    <w:p w:rsidR="00EC7C34" w:rsidRDefault="005D6065" w:rsidP="003E32F7">
      <w:pPr>
        <w:pStyle w:val="Normal-bullet"/>
        <w:numPr>
          <w:ilvl w:val="0"/>
          <w:numId w:val="0"/>
        </w:numPr>
        <w:spacing w:line="300" w:lineRule="auto"/>
        <w:jc w:val="both"/>
        <w:rPr>
          <w:sz w:val="20"/>
          <w:szCs w:val="20"/>
        </w:rPr>
      </w:pPr>
      <w:r w:rsidRPr="005D6065">
        <w:rPr>
          <w:noProof/>
          <w:sz w:val="20"/>
          <w:szCs w:val="20"/>
          <w:lang w:val="en-NZ" w:eastAsia="en-NZ"/>
        </w:rPr>
        <w:pict>
          <v:shape id="Chart 16" o:spid="_x0000_i1026" type="#_x0000_t75" style="width:468pt;height:247.5pt;visibility:visible">
            <v:imagedata r:id="rId8" o:title="" croptop="-1620f" cropbottom="-3772f" cropleft="-2868f" cropright="-59f"/>
            <o:lock v:ext="edit" aspectratio="f"/>
          </v:shape>
        </w:pict>
      </w:r>
    </w:p>
    <w:p w:rsidR="00EC7C34" w:rsidRDefault="00EC7C34" w:rsidP="00B20A93">
      <w:pPr>
        <w:ind w:firstLine="720"/>
      </w:pPr>
      <w:r w:rsidRPr="005F4D39">
        <w:rPr>
          <w:noProof/>
          <w:sz w:val="16"/>
          <w:szCs w:val="16"/>
        </w:rPr>
        <w:t>Source: Bloomberg</w:t>
      </w:r>
    </w:p>
    <w:p w:rsidR="00EC7C34" w:rsidRDefault="00EC7C34" w:rsidP="003E32F7">
      <w:pPr>
        <w:pStyle w:val="Normal-bullet"/>
        <w:numPr>
          <w:ilvl w:val="0"/>
          <w:numId w:val="0"/>
        </w:numPr>
        <w:spacing w:line="300" w:lineRule="auto"/>
        <w:jc w:val="both"/>
        <w:rPr>
          <w:sz w:val="20"/>
          <w:szCs w:val="20"/>
        </w:rPr>
      </w:pPr>
    </w:p>
    <w:p w:rsidR="00EC7C34" w:rsidRDefault="00EC7C34" w:rsidP="003E32F7">
      <w:pPr>
        <w:pStyle w:val="Normal-bullet"/>
        <w:numPr>
          <w:ilvl w:val="0"/>
          <w:numId w:val="0"/>
        </w:numPr>
        <w:spacing w:line="300" w:lineRule="auto"/>
        <w:jc w:val="both"/>
        <w:rPr>
          <w:sz w:val="20"/>
          <w:szCs w:val="20"/>
        </w:rPr>
      </w:pPr>
    </w:p>
    <w:p w:rsidR="00EC7C34" w:rsidRDefault="00EC7C34" w:rsidP="003E32F7">
      <w:pPr>
        <w:pStyle w:val="Normal-bullet"/>
        <w:numPr>
          <w:ilvl w:val="0"/>
          <w:numId w:val="0"/>
        </w:numPr>
        <w:spacing w:line="300" w:lineRule="auto"/>
        <w:jc w:val="both"/>
        <w:rPr>
          <w:sz w:val="20"/>
          <w:szCs w:val="20"/>
        </w:rPr>
      </w:pPr>
      <w:r>
        <w:rPr>
          <w:sz w:val="20"/>
          <w:szCs w:val="20"/>
        </w:rPr>
        <w:lastRenderedPageBreak/>
        <w:t>Ironically, investors flocked to the safety of the very asset that had been downgraded.</w:t>
      </w:r>
      <w:r>
        <w:rPr>
          <w:rStyle w:val="FootnoteReference"/>
          <w:sz w:val="20"/>
          <w:szCs w:val="20"/>
        </w:rPr>
        <w:footnoteReference w:id="1"/>
      </w:r>
      <w:r>
        <w:rPr>
          <w:sz w:val="20"/>
          <w:szCs w:val="20"/>
        </w:rPr>
        <w:t xml:space="preserve">  </w:t>
      </w:r>
      <w:proofErr w:type="gramStart"/>
      <w:r>
        <w:rPr>
          <w:sz w:val="20"/>
          <w:szCs w:val="20"/>
        </w:rPr>
        <w:t>The US 10 year government bond yield fell from (an already low) 3% to under 2%.</w:t>
      </w:r>
      <w:proofErr w:type="gramEnd"/>
      <w:r>
        <w:rPr>
          <w:sz w:val="20"/>
          <w:szCs w:val="20"/>
        </w:rPr>
        <w:t xml:space="preserve">  In around a week, the bond market had gone from expecting a slow and patchy recovery, to pricing in a lost decade of little or no growth or inflation – a process that took years to be priced in Japan in the 1990s (see Chart 1).   New Zealand government bond yields were dragged lower with global developments, with the 10 year yield falling from around 5.10% to below 4.50%.  </w:t>
      </w:r>
    </w:p>
    <w:p w:rsidR="00EC7C34" w:rsidRDefault="00EC7C34" w:rsidP="003E32F7">
      <w:pPr>
        <w:pStyle w:val="Normal-bullet"/>
        <w:numPr>
          <w:ilvl w:val="0"/>
          <w:numId w:val="0"/>
        </w:numPr>
        <w:spacing w:line="300" w:lineRule="auto"/>
        <w:jc w:val="both"/>
        <w:rPr>
          <w:sz w:val="20"/>
          <w:szCs w:val="20"/>
        </w:rPr>
      </w:pPr>
      <w:r>
        <w:rPr>
          <w:sz w:val="20"/>
          <w:szCs w:val="20"/>
        </w:rPr>
        <w:t xml:space="preserve">  </w:t>
      </w:r>
    </w:p>
    <w:p w:rsidR="00EC7C34" w:rsidRDefault="00EC7C34" w:rsidP="003E32F7">
      <w:pPr>
        <w:pStyle w:val="Normal-bullet"/>
        <w:numPr>
          <w:ilvl w:val="0"/>
          <w:numId w:val="0"/>
        </w:numPr>
        <w:spacing w:line="300" w:lineRule="auto"/>
        <w:jc w:val="both"/>
        <w:rPr>
          <w:sz w:val="20"/>
          <w:szCs w:val="20"/>
        </w:rPr>
      </w:pPr>
      <w:r>
        <w:rPr>
          <w:sz w:val="20"/>
          <w:szCs w:val="20"/>
        </w:rPr>
        <w:t xml:space="preserve">This dramatic flight to safety saw credit spreads widen sharply, with US and European financial institutions coming under the most intense pressure.  For much of 2011, New Zealand and Australian credit markets have been relatively insulated from bouts of risk aversion linked to developments in the European sovereign crisis.  But August saw global credit markets take the strain together.  The Australia </w:t>
      </w:r>
      <w:proofErr w:type="spellStart"/>
      <w:r>
        <w:rPr>
          <w:sz w:val="20"/>
          <w:szCs w:val="20"/>
        </w:rPr>
        <w:t>iTraxx</w:t>
      </w:r>
      <w:proofErr w:type="spellEnd"/>
      <w:r>
        <w:rPr>
          <w:sz w:val="20"/>
          <w:szCs w:val="20"/>
        </w:rPr>
        <w:t xml:space="preserve"> index spiked to 170bp, from its range of 110-120bps, with CDS </w:t>
      </w:r>
      <w:proofErr w:type="spellStart"/>
      <w:r>
        <w:rPr>
          <w:sz w:val="20"/>
          <w:szCs w:val="20"/>
        </w:rPr>
        <w:t>premia</w:t>
      </w:r>
      <w:proofErr w:type="spellEnd"/>
      <w:r>
        <w:rPr>
          <w:sz w:val="20"/>
          <w:szCs w:val="20"/>
        </w:rPr>
        <w:t xml:space="preserve"> on Australian banks increasing most.  In New Zealand, credit spreads on senior local bank paper were marked 10-15bps wider.  Foreign bank issuers in NZDs were hardest hit, with spreads 50-80bps wider.</w:t>
      </w:r>
    </w:p>
    <w:p w:rsidR="00EC7C34" w:rsidRDefault="00EC7C34" w:rsidP="00B20A93">
      <w:pPr>
        <w:pStyle w:val="Normal-bullet"/>
        <w:numPr>
          <w:ilvl w:val="0"/>
          <w:numId w:val="0"/>
        </w:numPr>
        <w:jc w:val="both"/>
        <w:rPr>
          <w:b/>
          <w:bCs/>
          <w:sz w:val="22"/>
          <w:szCs w:val="22"/>
          <w:lang w:val="en-NZ"/>
        </w:rPr>
      </w:pPr>
    </w:p>
    <w:p w:rsidR="00EC7C34" w:rsidRPr="006D574A" w:rsidRDefault="00EC7C34" w:rsidP="00B20A93">
      <w:pPr>
        <w:pStyle w:val="Normal-bullet"/>
        <w:numPr>
          <w:ilvl w:val="0"/>
          <w:numId w:val="0"/>
        </w:numPr>
        <w:jc w:val="both"/>
        <w:rPr>
          <w:b/>
          <w:bCs/>
          <w:sz w:val="22"/>
          <w:szCs w:val="22"/>
          <w:lang w:val="en-NZ"/>
        </w:rPr>
      </w:pPr>
      <w:r w:rsidRPr="006D574A">
        <w:rPr>
          <w:b/>
          <w:bCs/>
          <w:sz w:val="22"/>
          <w:szCs w:val="22"/>
          <w:lang w:val="en-NZ"/>
        </w:rPr>
        <w:t xml:space="preserve">Chart </w:t>
      </w:r>
      <w:r>
        <w:rPr>
          <w:b/>
          <w:bCs/>
          <w:sz w:val="22"/>
          <w:szCs w:val="22"/>
          <w:lang w:val="en-NZ"/>
        </w:rPr>
        <w:t>3</w:t>
      </w:r>
      <w:r w:rsidRPr="006D574A">
        <w:rPr>
          <w:b/>
          <w:bCs/>
          <w:sz w:val="22"/>
          <w:szCs w:val="22"/>
          <w:lang w:val="en-NZ"/>
        </w:rPr>
        <w:t xml:space="preserve">:   </w:t>
      </w:r>
      <w:r>
        <w:rPr>
          <w:b/>
          <w:bCs/>
          <w:sz w:val="22"/>
          <w:szCs w:val="22"/>
          <w:lang w:val="en-NZ"/>
        </w:rPr>
        <w:t xml:space="preserve">Selected Bank CDS </w:t>
      </w:r>
      <w:proofErr w:type="spellStart"/>
      <w:r>
        <w:rPr>
          <w:b/>
          <w:bCs/>
          <w:sz w:val="22"/>
          <w:szCs w:val="22"/>
          <w:lang w:val="en-NZ"/>
        </w:rPr>
        <w:t>Premia</w:t>
      </w:r>
      <w:proofErr w:type="spellEnd"/>
      <w:r>
        <w:rPr>
          <w:b/>
          <w:bCs/>
          <w:sz w:val="22"/>
          <w:szCs w:val="22"/>
          <w:lang w:val="en-NZ"/>
        </w:rPr>
        <w:t xml:space="preserve"> (for Subordinate Debt)</w:t>
      </w:r>
    </w:p>
    <w:p w:rsidR="00EC7C34" w:rsidRDefault="005D6065" w:rsidP="00B20A93">
      <w:pPr>
        <w:pStyle w:val="Normal-bullet"/>
        <w:numPr>
          <w:ilvl w:val="0"/>
          <w:numId w:val="0"/>
        </w:numPr>
        <w:spacing w:line="300" w:lineRule="auto"/>
        <w:rPr>
          <w:sz w:val="20"/>
          <w:szCs w:val="20"/>
        </w:rPr>
      </w:pPr>
      <w:r w:rsidRPr="005D6065">
        <w:rPr>
          <w:noProof/>
          <w:sz w:val="20"/>
          <w:szCs w:val="20"/>
          <w:lang w:val="en-NZ" w:eastAsia="en-NZ"/>
        </w:rPr>
        <w:pict>
          <v:shape id="Chart 13" o:spid="_x0000_i1027" type="#_x0000_t75" style="width:462.75pt;height:237.75pt;visibility:visible">
            <v:imagedata r:id="rId9" o:title="" croptop="-1787f" cropbottom="-3210f" cropleft="-1068f" cropright="-8217f"/>
            <o:lock v:ext="edit" aspectratio="f"/>
          </v:shape>
        </w:pict>
      </w:r>
    </w:p>
    <w:p w:rsidR="00EC7C34" w:rsidRDefault="00EC7C34" w:rsidP="00B20A93">
      <w:pPr>
        <w:ind w:firstLine="720"/>
      </w:pPr>
      <w:r w:rsidRPr="005F4D39">
        <w:rPr>
          <w:noProof/>
          <w:sz w:val="16"/>
          <w:szCs w:val="16"/>
        </w:rPr>
        <w:t>Source: Bloomberg</w:t>
      </w:r>
    </w:p>
    <w:p w:rsidR="00EC7C34" w:rsidRDefault="00EC7C34" w:rsidP="003E32F7">
      <w:pPr>
        <w:pStyle w:val="Normal-bullet"/>
        <w:numPr>
          <w:ilvl w:val="0"/>
          <w:numId w:val="0"/>
        </w:numPr>
        <w:spacing w:line="300" w:lineRule="auto"/>
        <w:jc w:val="both"/>
        <w:rPr>
          <w:sz w:val="20"/>
          <w:szCs w:val="20"/>
        </w:rPr>
      </w:pPr>
    </w:p>
    <w:p w:rsidR="00EC7C34" w:rsidRDefault="00EC7C34" w:rsidP="003E32F7">
      <w:pPr>
        <w:pStyle w:val="Normal-bullet"/>
        <w:numPr>
          <w:ilvl w:val="0"/>
          <w:numId w:val="0"/>
        </w:numPr>
        <w:spacing w:line="300" w:lineRule="auto"/>
        <w:jc w:val="both"/>
        <w:rPr>
          <w:sz w:val="20"/>
          <w:szCs w:val="20"/>
        </w:rPr>
      </w:pPr>
      <w:r>
        <w:rPr>
          <w:sz w:val="20"/>
          <w:szCs w:val="20"/>
        </w:rPr>
        <w:t>After solid CPI and GDP numbers back in July, the RBNZ had looked set to raise their Official Cash Rate (OCR) from 2.50% in September.  But global developments have quickly pushed back market expectations.  More dramatically, market pricing has shifted from expecting the RBA’s next move to be raising its official rate by 25 basis points, to expecting them to cut by nearly 150 basis points in less than 9 months.</w:t>
      </w:r>
    </w:p>
    <w:p w:rsidR="00EC7C34" w:rsidRDefault="00EC7C34" w:rsidP="006F66E6"/>
    <w:tbl>
      <w:tblPr>
        <w:tblW w:w="10915" w:type="dxa"/>
        <w:tblInd w:w="-106" w:type="dxa"/>
        <w:tblLayout w:type="fixed"/>
        <w:tblLook w:val="00A0"/>
      </w:tblPr>
      <w:tblGrid>
        <w:gridCol w:w="5245"/>
        <w:gridCol w:w="5670"/>
      </w:tblGrid>
      <w:tr w:rsidR="00EC7C34">
        <w:tc>
          <w:tcPr>
            <w:tcW w:w="5245" w:type="dxa"/>
          </w:tcPr>
          <w:p w:rsidR="00EC7C34" w:rsidRPr="00E47F2B" w:rsidRDefault="00EC7C34" w:rsidP="00E47F2B">
            <w:pPr>
              <w:pStyle w:val="NormalWeb"/>
              <w:spacing w:before="40" w:after="40" w:line="288" w:lineRule="auto"/>
              <w:jc w:val="center"/>
              <w:rPr>
                <w:b/>
                <w:bCs/>
                <w:sz w:val="22"/>
                <w:szCs w:val="22"/>
              </w:rPr>
            </w:pPr>
            <w:r w:rsidRPr="00E47F2B">
              <w:rPr>
                <w:b/>
                <w:bCs/>
                <w:sz w:val="22"/>
                <w:szCs w:val="22"/>
              </w:rPr>
              <w:t xml:space="preserve">Chart 4:  RBNZ Pricing </w:t>
            </w:r>
          </w:p>
        </w:tc>
        <w:tc>
          <w:tcPr>
            <w:tcW w:w="5670" w:type="dxa"/>
          </w:tcPr>
          <w:p w:rsidR="00EC7C34" w:rsidRPr="00E47F2B" w:rsidRDefault="00EC7C34" w:rsidP="00E47F2B">
            <w:pPr>
              <w:pStyle w:val="NormalWeb"/>
              <w:spacing w:before="40" w:after="40" w:line="288" w:lineRule="auto"/>
              <w:jc w:val="center"/>
              <w:rPr>
                <w:sz w:val="22"/>
                <w:szCs w:val="22"/>
              </w:rPr>
            </w:pPr>
            <w:r w:rsidRPr="00E47F2B">
              <w:rPr>
                <w:b/>
                <w:bCs/>
                <w:sz w:val="22"/>
                <w:szCs w:val="22"/>
              </w:rPr>
              <w:t>Chart 5:  RBA Pricing</w:t>
            </w:r>
          </w:p>
        </w:tc>
      </w:tr>
      <w:tr w:rsidR="00EC7C34">
        <w:tc>
          <w:tcPr>
            <w:tcW w:w="5245" w:type="dxa"/>
          </w:tcPr>
          <w:p w:rsidR="00EC7C34" w:rsidRPr="00E47F2B" w:rsidRDefault="005D6065" w:rsidP="00E47F2B">
            <w:pPr>
              <w:pStyle w:val="NormalWeb"/>
              <w:spacing w:before="40" w:after="40" w:line="288" w:lineRule="auto"/>
              <w:rPr>
                <w:sz w:val="22"/>
                <w:szCs w:val="22"/>
              </w:rPr>
            </w:pPr>
            <w:r w:rsidRPr="005D6065">
              <w:rPr>
                <w:noProof/>
                <w:sz w:val="22"/>
                <w:szCs w:val="22"/>
              </w:rPr>
              <w:pict>
                <v:shape id="Chart 6" o:spid="_x0000_i1028" type="#_x0000_t75" style="width:275.25pt;height:228pt;visibility:visible">
                  <v:imagedata r:id="rId10" o:title="" croptop="-1883f" cropbottom="-2326f" cropleft="-231f" cropright="-9042f"/>
                  <o:lock v:ext="edit" aspectratio="f"/>
                </v:shape>
              </w:pict>
            </w:r>
          </w:p>
        </w:tc>
        <w:tc>
          <w:tcPr>
            <w:tcW w:w="5670" w:type="dxa"/>
          </w:tcPr>
          <w:p w:rsidR="00EC7C34" w:rsidRPr="00E47F2B" w:rsidRDefault="005D6065" w:rsidP="00E47F2B">
            <w:pPr>
              <w:pStyle w:val="NormalWeb"/>
              <w:spacing w:before="40" w:after="40" w:line="288" w:lineRule="auto"/>
              <w:rPr>
                <w:sz w:val="22"/>
                <w:szCs w:val="22"/>
              </w:rPr>
            </w:pPr>
            <w:r w:rsidRPr="005D6065">
              <w:rPr>
                <w:noProof/>
                <w:sz w:val="22"/>
                <w:szCs w:val="22"/>
              </w:rPr>
              <w:pict>
                <v:shape id="Chart 7" o:spid="_x0000_i1029" type="#_x0000_t75" style="width:277.5pt;height:228pt;visibility:visible">
                  <v:imagedata r:id="rId11" o:title="" croptop="-1883f" cropbottom="-2326f" cropleft="-233f" cropright="-10253f"/>
                  <o:lock v:ext="edit" aspectratio="f"/>
                </v:shape>
              </w:pict>
            </w:r>
          </w:p>
        </w:tc>
      </w:tr>
      <w:tr w:rsidR="00EC7C34">
        <w:tc>
          <w:tcPr>
            <w:tcW w:w="5245" w:type="dxa"/>
          </w:tcPr>
          <w:p w:rsidR="00EC7C34" w:rsidRPr="00E47F2B" w:rsidRDefault="00EC7C34" w:rsidP="00E47F2B">
            <w:pPr>
              <w:pStyle w:val="NormalWeb"/>
              <w:spacing w:before="40" w:after="40" w:line="288" w:lineRule="auto"/>
              <w:rPr>
                <w:noProof/>
                <w:sz w:val="16"/>
                <w:szCs w:val="16"/>
              </w:rPr>
            </w:pPr>
            <w:r w:rsidRPr="00E47F2B">
              <w:rPr>
                <w:noProof/>
                <w:sz w:val="16"/>
                <w:szCs w:val="16"/>
              </w:rPr>
              <w:t xml:space="preserve">             Source: Bloomberg</w:t>
            </w:r>
          </w:p>
        </w:tc>
        <w:tc>
          <w:tcPr>
            <w:tcW w:w="5670" w:type="dxa"/>
          </w:tcPr>
          <w:p w:rsidR="00EC7C34" w:rsidRPr="00E47F2B" w:rsidRDefault="00EC7C34" w:rsidP="00E47F2B">
            <w:pPr>
              <w:pStyle w:val="NormalWeb"/>
              <w:spacing w:before="40" w:after="40" w:line="288" w:lineRule="auto"/>
              <w:rPr>
                <w:noProof/>
                <w:sz w:val="16"/>
                <w:szCs w:val="16"/>
              </w:rPr>
            </w:pPr>
            <w:r w:rsidRPr="00E47F2B">
              <w:rPr>
                <w:noProof/>
                <w:sz w:val="16"/>
                <w:szCs w:val="16"/>
              </w:rPr>
              <w:t xml:space="preserve">            Source: Bloomberg</w:t>
            </w:r>
          </w:p>
        </w:tc>
      </w:tr>
    </w:tbl>
    <w:p w:rsidR="00EC7C34" w:rsidRDefault="00EC7C34" w:rsidP="006F66E6">
      <w:pPr>
        <w:pStyle w:val="NormalWeb"/>
        <w:spacing w:before="40" w:after="40" w:line="288" w:lineRule="auto"/>
        <w:rPr>
          <w:sz w:val="22"/>
          <w:szCs w:val="22"/>
        </w:rPr>
      </w:pPr>
    </w:p>
    <w:p w:rsidR="00EC7C34" w:rsidRDefault="00EC7C34" w:rsidP="007724F6">
      <w:pPr>
        <w:pStyle w:val="Heading3"/>
        <w:rPr>
          <w:sz w:val="28"/>
          <w:szCs w:val="28"/>
        </w:rPr>
      </w:pPr>
      <w:r>
        <w:rPr>
          <w:sz w:val="28"/>
          <w:szCs w:val="28"/>
        </w:rPr>
        <w:t xml:space="preserve">Fixed income: strategy and outlook </w:t>
      </w:r>
    </w:p>
    <w:p w:rsidR="00EC7C34" w:rsidRDefault="00EC7C34">
      <w:pPr>
        <w:pStyle w:val="Normal-bullet"/>
        <w:numPr>
          <w:ilvl w:val="0"/>
          <w:numId w:val="0"/>
        </w:numPr>
        <w:spacing w:line="300" w:lineRule="auto"/>
        <w:jc w:val="both"/>
        <w:rPr>
          <w:sz w:val="20"/>
          <w:szCs w:val="20"/>
        </w:rPr>
      </w:pPr>
    </w:p>
    <w:p w:rsidR="00EC7C34" w:rsidRDefault="00EC7C34" w:rsidP="00BB7B05">
      <w:pPr>
        <w:pStyle w:val="Normal-bullet"/>
        <w:numPr>
          <w:ilvl w:val="0"/>
          <w:numId w:val="0"/>
        </w:numPr>
        <w:spacing w:line="300" w:lineRule="auto"/>
        <w:jc w:val="both"/>
        <w:rPr>
          <w:sz w:val="20"/>
          <w:szCs w:val="20"/>
        </w:rPr>
      </w:pPr>
      <w:r>
        <w:rPr>
          <w:sz w:val="20"/>
          <w:szCs w:val="20"/>
        </w:rPr>
        <w:t xml:space="preserve">Ongoing challenges in the US and Europe continue to create an environment where core government bonds will be supported by bouts of flight to safety.   </w:t>
      </w:r>
    </w:p>
    <w:p w:rsidR="00EC7C34" w:rsidRDefault="00EC7C34" w:rsidP="00BB7B05">
      <w:pPr>
        <w:pStyle w:val="Normal-bullet"/>
        <w:numPr>
          <w:ilvl w:val="0"/>
          <w:numId w:val="0"/>
        </w:numPr>
        <w:spacing w:line="300" w:lineRule="auto"/>
        <w:jc w:val="both"/>
        <w:rPr>
          <w:sz w:val="20"/>
          <w:szCs w:val="20"/>
        </w:rPr>
      </w:pPr>
    </w:p>
    <w:p w:rsidR="00EC7C34" w:rsidRDefault="00EC7C34" w:rsidP="00BB7B05">
      <w:pPr>
        <w:pStyle w:val="Normal-bullet"/>
        <w:numPr>
          <w:ilvl w:val="0"/>
          <w:numId w:val="0"/>
        </w:numPr>
        <w:spacing w:line="300" w:lineRule="auto"/>
        <w:jc w:val="both"/>
        <w:rPr>
          <w:sz w:val="20"/>
          <w:szCs w:val="20"/>
        </w:rPr>
      </w:pPr>
      <w:r>
        <w:rPr>
          <w:sz w:val="20"/>
          <w:szCs w:val="20"/>
        </w:rPr>
        <w:t xml:space="preserve">While out of the spotlight in August, the European sovereign crisis continues to unfold, and any definitive solution must navigate a political minefield.  We expect this to be a focus over September.  Likewise the US looks set for a modest economic recovery, as the deleveraging process continues.  And the US Federal Reserve is contemplating the need for more Quantitative Easing to keep long-term yields lower for longer.  These factors are all supportive for New Zealand government bonds, especially given New Zealand relatively strong fiscal starting point and determined plans to return to fiscal surplus.   </w:t>
      </w:r>
    </w:p>
    <w:p w:rsidR="00EC7C34" w:rsidRDefault="00EC7C34" w:rsidP="00BB7B05">
      <w:pPr>
        <w:pStyle w:val="Normal-bullet"/>
        <w:numPr>
          <w:ilvl w:val="0"/>
          <w:numId w:val="0"/>
        </w:numPr>
        <w:spacing w:line="300" w:lineRule="auto"/>
        <w:jc w:val="both"/>
        <w:rPr>
          <w:sz w:val="20"/>
          <w:szCs w:val="20"/>
        </w:rPr>
      </w:pPr>
    </w:p>
    <w:p w:rsidR="00EC7C34" w:rsidRDefault="00EC7C34" w:rsidP="00BB7B05">
      <w:pPr>
        <w:pStyle w:val="Normal-bullet"/>
        <w:numPr>
          <w:ilvl w:val="0"/>
          <w:numId w:val="0"/>
        </w:numPr>
        <w:spacing w:line="300" w:lineRule="auto"/>
        <w:jc w:val="both"/>
        <w:rPr>
          <w:sz w:val="20"/>
          <w:szCs w:val="20"/>
        </w:rPr>
      </w:pPr>
      <w:r>
        <w:rPr>
          <w:sz w:val="20"/>
          <w:szCs w:val="20"/>
        </w:rPr>
        <w:t>However, while we are expecting the US economic recovery to be slow and patchy, we do not believe that the US is entering a lost decade to rival the experience of Japan.</w:t>
      </w:r>
      <w:r>
        <w:rPr>
          <w:rStyle w:val="FootnoteReference"/>
          <w:sz w:val="20"/>
          <w:szCs w:val="20"/>
        </w:rPr>
        <w:footnoteReference w:id="2"/>
      </w:r>
      <w:r>
        <w:rPr>
          <w:sz w:val="20"/>
          <w:szCs w:val="20"/>
        </w:rPr>
        <w:t xml:space="preserve">  So if US government bond yields fall sharply, and move further out of line with New Zealand, this will act as a signal to shorten duration (and reduce our exposure to a sharp rise in bond yields).</w:t>
      </w:r>
    </w:p>
    <w:p w:rsidR="00EC7C34" w:rsidRDefault="00EC7C34" w:rsidP="00BB7B05">
      <w:pPr>
        <w:pStyle w:val="Normal-bullet"/>
        <w:numPr>
          <w:ilvl w:val="0"/>
          <w:numId w:val="0"/>
        </w:numPr>
        <w:spacing w:line="300" w:lineRule="auto"/>
        <w:jc w:val="both"/>
        <w:rPr>
          <w:sz w:val="20"/>
          <w:szCs w:val="20"/>
        </w:rPr>
      </w:pPr>
    </w:p>
    <w:p w:rsidR="00EC7C34" w:rsidRDefault="00EC7C34" w:rsidP="00BB7B05">
      <w:pPr>
        <w:pStyle w:val="Normal-bullet"/>
        <w:numPr>
          <w:ilvl w:val="0"/>
          <w:numId w:val="0"/>
        </w:numPr>
        <w:spacing w:line="300" w:lineRule="auto"/>
        <w:jc w:val="both"/>
        <w:rPr>
          <w:sz w:val="20"/>
          <w:szCs w:val="20"/>
        </w:rPr>
      </w:pPr>
      <w:r>
        <w:rPr>
          <w:sz w:val="20"/>
          <w:szCs w:val="20"/>
        </w:rPr>
        <w:lastRenderedPageBreak/>
        <w:t>At the short-end of the yield curve, we believe that both the NZ and Australian fixed income markets have focused exclusively on developments in the US economy and financial system, at the expense of information on their own domestic economies and main trading partners.</w:t>
      </w:r>
      <w:r>
        <w:rPr>
          <w:rStyle w:val="FootnoteReference"/>
          <w:sz w:val="20"/>
          <w:szCs w:val="20"/>
        </w:rPr>
        <w:footnoteReference w:id="3"/>
      </w:r>
      <w:r>
        <w:rPr>
          <w:sz w:val="20"/>
          <w:szCs w:val="20"/>
        </w:rPr>
        <w:t xml:space="preserve">  </w:t>
      </w:r>
    </w:p>
    <w:p w:rsidR="00EC7C34" w:rsidRDefault="00EC7C34" w:rsidP="00BB7B05">
      <w:pPr>
        <w:pStyle w:val="Normal-bullet"/>
        <w:numPr>
          <w:ilvl w:val="0"/>
          <w:numId w:val="0"/>
        </w:numPr>
        <w:spacing w:line="300" w:lineRule="auto"/>
        <w:jc w:val="both"/>
        <w:rPr>
          <w:sz w:val="20"/>
          <w:szCs w:val="20"/>
        </w:rPr>
      </w:pPr>
    </w:p>
    <w:p w:rsidR="00EC7C34" w:rsidRDefault="00EC7C34" w:rsidP="001F6075">
      <w:pPr>
        <w:pStyle w:val="Normal-bullet"/>
        <w:numPr>
          <w:ilvl w:val="0"/>
          <w:numId w:val="0"/>
        </w:numPr>
        <w:spacing w:line="300" w:lineRule="auto"/>
        <w:jc w:val="both"/>
        <w:rPr>
          <w:sz w:val="20"/>
          <w:szCs w:val="20"/>
        </w:rPr>
      </w:pPr>
      <w:r>
        <w:rPr>
          <w:sz w:val="20"/>
          <w:szCs w:val="20"/>
        </w:rPr>
        <w:t xml:space="preserve">In the case of NZ, retail sales, business and consumer confidence, commodity prices and building permits have all come in at solid levels during August, and surveys of inflation expectations remain stubbornly high.  So while, we are not expecting the RBNZ to raise interest rates at their September meeting, we think the market is underestimating the need for them to get on with things once the threat to the international financial system settles.  In that respect, in their upcoming Monetary Policy Statement, the RBNZ would do the market a service by setting out the facts in an impartial way and putting global developments in proper context.     </w:t>
      </w:r>
    </w:p>
    <w:p w:rsidR="00EC7C34" w:rsidRDefault="00EC7C34" w:rsidP="001F6075">
      <w:pPr>
        <w:pStyle w:val="Normal-bullet"/>
        <w:numPr>
          <w:ilvl w:val="0"/>
          <w:numId w:val="0"/>
        </w:numPr>
        <w:spacing w:line="300" w:lineRule="auto"/>
        <w:jc w:val="both"/>
        <w:rPr>
          <w:sz w:val="20"/>
          <w:szCs w:val="20"/>
        </w:rPr>
      </w:pPr>
    </w:p>
    <w:p w:rsidR="00EC7C34" w:rsidRDefault="00EC7C34" w:rsidP="001F6075">
      <w:pPr>
        <w:pStyle w:val="Normal-bullet"/>
        <w:numPr>
          <w:ilvl w:val="0"/>
          <w:numId w:val="0"/>
        </w:numPr>
        <w:spacing w:line="300" w:lineRule="auto"/>
        <w:jc w:val="both"/>
        <w:rPr>
          <w:sz w:val="20"/>
          <w:szCs w:val="20"/>
        </w:rPr>
      </w:pPr>
      <w:r>
        <w:rPr>
          <w:sz w:val="20"/>
          <w:szCs w:val="20"/>
        </w:rPr>
        <w:t xml:space="preserve">In the case of Australia, the domestic economy has evolved much as expected over the month, with a continued divergence been a strong resources sector and a subdued household sector.  While the RBA may no longer need to hike interest rates, we believe the market is overestimating the need for the RBA to cut interest rates as aggressively as market pricing suggests.       </w:t>
      </w:r>
    </w:p>
    <w:p w:rsidR="00EC7C34" w:rsidRDefault="00EC7C34" w:rsidP="001F6075">
      <w:pPr>
        <w:pStyle w:val="Normal-bullet"/>
        <w:numPr>
          <w:ilvl w:val="0"/>
          <w:numId w:val="0"/>
        </w:numPr>
        <w:spacing w:line="300" w:lineRule="auto"/>
        <w:jc w:val="both"/>
        <w:rPr>
          <w:sz w:val="20"/>
          <w:szCs w:val="20"/>
        </w:rPr>
      </w:pPr>
    </w:p>
    <w:p w:rsidR="00EC7C34" w:rsidRPr="001F423E" w:rsidRDefault="00EC7C34" w:rsidP="00B31D0E">
      <w:pPr>
        <w:pStyle w:val="Normal-bullet"/>
        <w:numPr>
          <w:ilvl w:val="0"/>
          <w:numId w:val="0"/>
        </w:numPr>
        <w:spacing w:line="300" w:lineRule="auto"/>
        <w:jc w:val="both"/>
        <w:rPr>
          <w:sz w:val="20"/>
          <w:szCs w:val="20"/>
        </w:rPr>
      </w:pPr>
      <w:r>
        <w:rPr>
          <w:sz w:val="20"/>
          <w:szCs w:val="20"/>
        </w:rPr>
        <w:t>In credit markets, we are expecting global credit spreads to correct back from the peaks they reached at the height of market fear in August.  So we can see good opportunities to lengthen credit duration on solid credits.  As credit markets calm, we will continue to assess opportunities to work down our holdings of subordinate and perpetual debt in the NZ Corporate Bond Fund, to further reduce its volatility.</w:t>
      </w:r>
    </w:p>
    <w:p w:rsidR="00EC7C34" w:rsidRDefault="00EC7C34" w:rsidP="003B5D7B">
      <w:pPr>
        <w:spacing w:before="0" w:after="0" w:line="240" w:lineRule="auto"/>
        <w:rPr>
          <w:rFonts w:ascii="Calibri" w:hAnsi="Calibri" w:cs="Calibri"/>
          <w:i/>
          <w:iCs/>
          <w:sz w:val="20"/>
          <w:szCs w:val="20"/>
        </w:rPr>
      </w:pPr>
    </w:p>
    <w:p w:rsidR="00EC7C34" w:rsidRDefault="00EC7C34" w:rsidP="003A7685">
      <w:pPr>
        <w:pStyle w:val="Heading3"/>
        <w:rPr>
          <w:sz w:val="28"/>
          <w:szCs w:val="28"/>
        </w:rPr>
      </w:pPr>
      <w:r>
        <w:rPr>
          <w:sz w:val="28"/>
          <w:szCs w:val="28"/>
        </w:rPr>
        <w:t xml:space="preserve">Equities: strategy and outlook </w:t>
      </w:r>
    </w:p>
    <w:p w:rsidR="00EC7C34" w:rsidRDefault="00EC7C34">
      <w:pPr>
        <w:spacing w:before="0" w:after="0" w:line="240" w:lineRule="auto"/>
        <w:rPr>
          <w:rFonts w:ascii="Calibri" w:hAnsi="Calibri" w:cs="Calibri"/>
          <w:i/>
          <w:iCs/>
          <w:sz w:val="20"/>
          <w:szCs w:val="20"/>
        </w:rPr>
      </w:pPr>
    </w:p>
    <w:p w:rsidR="00EC7C34" w:rsidRDefault="00EC7C34" w:rsidP="003A7685">
      <w:pPr>
        <w:pStyle w:val="Normal-bullet"/>
        <w:numPr>
          <w:ilvl w:val="0"/>
          <w:numId w:val="0"/>
        </w:numPr>
        <w:tabs>
          <w:tab w:val="left" w:pos="720"/>
        </w:tabs>
        <w:spacing w:line="300" w:lineRule="auto"/>
        <w:jc w:val="both"/>
        <w:rPr>
          <w:sz w:val="20"/>
          <w:szCs w:val="20"/>
        </w:rPr>
      </w:pPr>
      <w:r>
        <w:rPr>
          <w:sz w:val="20"/>
          <w:szCs w:val="20"/>
        </w:rPr>
        <w:t>The New Zealand company reporting season was the most solid for over 5 years. On a three to one ratio New Zealand companies reported better than expected earnings and had upgrades to the outlook for earnings. Domestic sales and margins were highlights and a number of companies specifically mentioned their expectations to benefit from either the Rugby World Cup or the Christchurch rebuild – the two key catalysts for New Zealand economic growth.</w:t>
      </w:r>
    </w:p>
    <w:p w:rsidR="00EC7C34" w:rsidRDefault="00EC7C34" w:rsidP="003A7685">
      <w:pPr>
        <w:rPr>
          <w:sz w:val="22"/>
          <w:szCs w:val="22"/>
        </w:rPr>
      </w:pPr>
    </w:p>
    <w:p w:rsidR="00EC7C34" w:rsidRDefault="00EC7C34" w:rsidP="003A7685">
      <w:pPr>
        <w:pStyle w:val="Normal-bullet"/>
        <w:numPr>
          <w:ilvl w:val="0"/>
          <w:numId w:val="0"/>
        </w:numPr>
        <w:tabs>
          <w:tab w:val="left" w:pos="720"/>
        </w:tabs>
        <w:spacing w:line="300" w:lineRule="auto"/>
        <w:jc w:val="both"/>
        <w:rPr>
          <w:sz w:val="20"/>
          <w:szCs w:val="20"/>
        </w:rPr>
      </w:pPr>
      <w:r>
        <w:rPr>
          <w:sz w:val="20"/>
          <w:szCs w:val="20"/>
        </w:rPr>
        <w:t xml:space="preserve">However, there were exceptions to the good earnings announcements. Most companies exposed to the Australian consumer reported poor earnings – Goodman Fielder, APN News and Media, Fisher &amp; </w:t>
      </w:r>
      <w:proofErr w:type="spellStart"/>
      <w:r>
        <w:rPr>
          <w:sz w:val="20"/>
          <w:szCs w:val="20"/>
        </w:rPr>
        <w:t>Paykel</w:t>
      </w:r>
      <w:proofErr w:type="spellEnd"/>
      <w:r>
        <w:rPr>
          <w:sz w:val="20"/>
          <w:szCs w:val="20"/>
        </w:rPr>
        <w:t xml:space="preserve"> Appliances and Pumpkin Patch all under-performed. New Zealand exporters also generally reported worse earnings as the strong currency hit.</w:t>
      </w:r>
    </w:p>
    <w:p w:rsidR="00EC7C34" w:rsidRDefault="00EC7C34" w:rsidP="003A7685">
      <w:pPr>
        <w:rPr>
          <w:sz w:val="22"/>
          <w:szCs w:val="22"/>
        </w:rPr>
      </w:pPr>
    </w:p>
    <w:p w:rsidR="00EC7C34" w:rsidRDefault="00EC7C34" w:rsidP="003A7685">
      <w:pPr>
        <w:pStyle w:val="Normal-bullet"/>
        <w:numPr>
          <w:ilvl w:val="0"/>
          <w:numId w:val="0"/>
        </w:numPr>
        <w:tabs>
          <w:tab w:val="left" w:pos="720"/>
        </w:tabs>
        <w:spacing w:line="300" w:lineRule="auto"/>
        <w:jc w:val="both"/>
        <w:rPr>
          <w:sz w:val="20"/>
          <w:szCs w:val="20"/>
        </w:rPr>
      </w:pPr>
      <w:r>
        <w:rPr>
          <w:sz w:val="20"/>
          <w:szCs w:val="20"/>
        </w:rPr>
        <w:lastRenderedPageBreak/>
        <w:t xml:space="preserve">We continue to lift exposures to New Zealand names and hold an overweight in resources and energy. Specifically we expect investors to gradually upgrade earnings expectations for iron ore in particular – that is why we have added Rio Tinto to the portfolio (over 75% of Rio’s earnings come from iron ore). BHP and Rio Tinto remain the lowest cost producers of iron ore. Fletcher Building looks well set to benefit from the rebuilding of Christchurch and a more gradual lift in New Zealand residential building activity. The </w:t>
      </w:r>
      <w:proofErr w:type="gramStart"/>
      <w:r>
        <w:rPr>
          <w:sz w:val="20"/>
          <w:szCs w:val="20"/>
        </w:rPr>
        <w:t>government have</w:t>
      </w:r>
      <w:proofErr w:type="gramEnd"/>
      <w:r>
        <w:rPr>
          <w:sz w:val="20"/>
          <w:szCs w:val="20"/>
        </w:rPr>
        <w:t xml:space="preserve"> revised up sharply the residential rebuilding costs – and overall some estimates of the total rebuilding costs have lifted from $15bn to over $20bn.</w:t>
      </w:r>
    </w:p>
    <w:p w:rsidR="00EC7C34" w:rsidRDefault="00EC7C34" w:rsidP="003A7685">
      <w:pPr>
        <w:pStyle w:val="Normal-bullet"/>
        <w:numPr>
          <w:ilvl w:val="0"/>
          <w:numId w:val="0"/>
        </w:numPr>
        <w:tabs>
          <w:tab w:val="left" w:pos="720"/>
        </w:tabs>
        <w:spacing w:line="300" w:lineRule="auto"/>
        <w:jc w:val="both"/>
        <w:rPr>
          <w:sz w:val="20"/>
          <w:szCs w:val="20"/>
        </w:rPr>
      </w:pPr>
    </w:p>
    <w:p w:rsidR="00EC7C34" w:rsidRDefault="00EC7C34" w:rsidP="003A7685">
      <w:pPr>
        <w:pStyle w:val="Normal-bullet"/>
        <w:numPr>
          <w:ilvl w:val="0"/>
          <w:numId w:val="0"/>
        </w:numPr>
        <w:tabs>
          <w:tab w:val="left" w:pos="720"/>
        </w:tabs>
        <w:spacing w:line="300" w:lineRule="auto"/>
        <w:jc w:val="both"/>
        <w:rPr>
          <w:sz w:val="20"/>
          <w:szCs w:val="20"/>
        </w:rPr>
      </w:pPr>
      <w:r>
        <w:rPr>
          <w:sz w:val="20"/>
          <w:szCs w:val="20"/>
        </w:rPr>
        <w:t>In our view the tail risks of further European bank sector stress remain, and coupled with slow Australian credit growth and falling Australian house prices – the headwinds for Australian financial shares remain. That isn’t to say that Australian banks look expensive – they probably don’t – but the risks still seem biased on the downside.</w:t>
      </w:r>
    </w:p>
    <w:p w:rsidR="00EC7C34" w:rsidRDefault="00EC7C34">
      <w:pPr>
        <w:spacing w:before="0" w:after="0" w:line="240" w:lineRule="auto"/>
        <w:rPr>
          <w:rFonts w:ascii="Calibri" w:hAnsi="Calibri" w:cs="Calibri"/>
          <w:i/>
          <w:iCs/>
          <w:sz w:val="20"/>
          <w:szCs w:val="20"/>
        </w:rPr>
      </w:pPr>
    </w:p>
    <w:p w:rsidR="00EC7C34" w:rsidRDefault="00EC7C34" w:rsidP="003B5D7B">
      <w:pPr>
        <w:spacing w:before="0" w:after="0" w:line="240" w:lineRule="auto"/>
        <w:rPr>
          <w:rFonts w:ascii="Calibri" w:hAnsi="Calibri" w:cs="Calibri"/>
          <w:i/>
          <w:iCs/>
          <w:sz w:val="20"/>
          <w:szCs w:val="20"/>
        </w:rPr>
      </w:pPr>
    </w:p>
    <w:p w:rsidR="00EC7C34" w:rsidRDefault="00EC7C34" w:rsidP="003B5D7B">
      <w:pPr>
        <w:spacing w:before="0" w:after="0" w:line="240" w:lineRule="auto"/>
        <w:rPr>
          <w:rFonts w:ascii="Calibri" w:hAnsi="Calibri" w:cs="Calibri"/>
          <w:i/>
          <w:iCs/>
          <w:sz w:val="20"/>
          <w:szCs w:val="20"/>
        </w:rPr>
      </w:pPr>
    </w:p>
    <w:p w:rsidR="00EC7C34" w:rsidRDefault="00EC7C34" w:rsidP="003B5D7B">
      <w:pPr>
        <w:spacing w:before="0" w:after="0" w:line="240" w:lineRule="auto"/>
        <w:rPr>
          <w:rFonts w:ascii="Calibri" w:hAnsi="Calibri" w:cs="Calibri"/>
          <w:i/>
          <w:iCs/>
          <w:sz w:val="20"/>
          <w:szCs w:val="20"/>
        </w:rPr>
      </w:pPr>
    </w:p>
    <w:p w:rsidR="00EC7C34" w:rsidRDefault="00EC7C34" w:rsidP="003B5D7B">
      <w:pPr>
        <w:spacing w:before="0" w:after="0" w:line="240" w:lineRule="auto"/>
        <w:rPr>
          <w:rFonts w:ascii="Calibri" w:hAnsi="Calibri" w:cs="Calibri"/>
          <w:i/>
          <w:iCs/>
          <w:sz w:val="20"/>
          <w:szCs w:val="20"/>
        </w:rPr>
      </w:pPr>
    </w:p>
    <w:p w:rsidR="00EC7C34" w:rsidRDefault="00EC7C34" w:rsidP="003B5D7B">
      <w:pPr>
        <w:spacing w:before="0" w:after="0" w:line="240" w:lineRule="auto"/>
        <w:rPr>
          <w:rFonts w:ascii="Calibri" w:hAnsi="Calibri" w:cs="Calibri"/>
          <w:i/>
          <w:iCs/>
          <w:sz w:val="20"/>
          <w:szCs w:val="20"/>
        </w:rPr>
      </w:pPr>
    </w:p>
    <w:p w:rsidR="00EC7C34" w:rsidRDefault="00EC7C34" w:rsidP="003B5D7B">
      <w:pPr>
        <w:spacing w:before="0" w:after="0" w:line="240" w:lineRule="auto"/>
        <w:rPr>
          <w:rFonts w:ascii="Calibri" w:hAnsi="Calibri" w:cs="Calibri"/>
          <w:i/>
          <w:iCs/>
          <w:sz w:val="20"/>
          <w:szCs w:val="20"/>
        </w:rPr>
      </w:pPr>
    </w:p>
    <w:p w:rsidR="00EC7C34" w:rsidRDefault="00EC7C34" w:rsidP="003B5D7B">
      <w:pPr>
        <w:spacing w:before="0" w:after="0" w:line="240" w:lineRule="auto"/>
        <w:rPr>
          <w:rFonts w:ascii="Calibri" w:hAnsi="Calibri" w:cs="Calibri"/>
          <w:i/>
          <w:iCs/>
          <w:sz w:val="20"/>
          <w:szCs w:val="20"/>
        </w:rPr>
      </w:pPr>
    </w:p>
    <w:p w:rsidR="00EC7C34" w:rsidRDefault="00EC7C34" w:rsidP="003B5D7B">
      <w:pPr>
        <w:spacing w:before="0" w:after="0" w:line="240" w:lineRule="auto"/>
        <w:rPr>
          <w:rFonts w:ascii="Calibri" w:hAnsi="Calibri" w:cs="Calibri"/>
          <w:i/>
          <w:iCs/>
          <w:sz w:val="20"/>
          <w:szCs w:val="20"/>
        </w:rPr>
      </w:pPr>
    </w:p>
    <w:p w:rsidR="00EC7C34" w:rsidRDefault="00EC7C34" w:rsidP="003B5D7B">
      <w:pPr>
        <w:spacing w:before="0" w:after="0" w:line="240" w:lineRule="auto"/>
        <w:rPr>
          <w:rFonts w:ascii="Calibri" w:hAnsi="Calibri" w:cs="Calibri"/>
          <w:i/>
          <w:iCs/>
          <w:sz w:val="20"/>
          <w:szCs w:val="20"/>
        </w:rPr>
      </w:pPr>
    </w:p>
    <w:p w:rsidR="00EC7C34" w:rsidRDefault="00EC7C34" w:rsidP="003B5D7B">
      <w:pPr>
        <w:spacing w:before="0" w:after="0" w:line="240" w:lineRule="auto"/>
        <w:rPr>
          <w:rFonts w:ascii="Calibri" w:hAnsi="Calibri" w:cs="Calibri"/>
          <w:i/>
          <w:iCs/>
          <w:sz w:val="20"/>
          <w:szCs w:val="20"/>
        </w:rPr>
      </w:pPr>
    </w:p>
    <w:p w:rsidR="00EC7C34" w:rsidRDefault="00EC7C34" w:rsidP="003B5D7B">
      <w:pPr>
        <w:spacing w:before="0" w:after="0" w:line="240" w:lineRule="auto"/>
        <w:rPr>
          <w:rFonts w:ascii="Calibri" w:hAnsi="Calibri" w:cs="Calibri"/>
          <w:i/>
          <w:iCs/>
          <w:sz w:val="20"/>
          <w:szCs w:val="20"/>
        </w:rPr>
      </w:pPr>
    </w:p>
    <w:p w:rsidR="00EC7C34" w:rsidRDefault="00EC7C34" w:rsidP="003B5D7B">
      <w:pPr>
        <w:spacing w:before="0" w:after="0" w:line="240" w:lineRule="auto"/>
        <w:rPr>
          <w:rFonts w:ascii="Calibri" w:hAnsi="Calibri" w:cs="Calibri"/>
          <w:i/>
          <w:iCs/>
          <w:sz w:val="20"/>
          <w:szCs w:val="20"/>
        </w:rPr>
      </w:pPr>
    </w:p>
    <w:p w:rsidR="00EC7C34" w:rsidRDefault="00EC7C34" w:rsidP="003B5D7B">
      <w:pPr>
        <w:spacing w:before="0" w:after="0" w:line="240" w:lineRule="auto"/>
        <w:rPr>
          <w:rFonts w:ascii="Calibri" w:hAnsi="Calibri" w:cs="Calibri"/>
          <w:i/>
          <w:iCs/>
          <w:sz w:val="20"/>
          <w:szCs w:val="20"/>
        </w:rPr>
      </w:pPr>
    </w:p>
    <w:p w:rsidR="00EC7C34" w:rsidRDefault="00EC7C34" w:rsidP="003B5D7B">
      <w:pPr>
        <w:spacing w:before="0" w:after="0" w:line="240" w:lineRule="auto"/>
        <w:rPr>
          <w:rFonts w:ascii="Calibri" w:hAnsi="Calibri" w:cs="Calibri"/>
          <w:i/>
          <w:iCs/>
          <w:sz w:val="20"/>
          <w:szCs w:val="20"/>
        </w:rPr>
      </w:pPr>
    </w:p>
    <w:p w:rsidR="00EC7C34" w:rsidRDefault="00EC7C34" w:rsidP="003B5D7B">
      <w:pPr>
        <w:spacing w:before="0" w:after="0" w:line="240" w:lineRule="auto"/>
        <w:rPr>
          <w:rFonts w:ascii="Calibri" w:hAnsi="Calibri" w:cs="Calibri"/>
          <w:i/>
          <w:iCs/>
          <w:sz w:val="20"/>
          <w:szCs w:val="20"/>
        </w:rPr>
      </w:pPr>
    </w:p>
    <w:p w:rsidR="00EC7C34" w:rsidRDefault="00EC7C34" w:rsidP="003B5D7B">
      <w:pPr>
        <w:spacing w:before="0" w:after="0" w:line="240" w:lineRule="auto"/>
        <w:rPr>
          <w:rFonts w:ascii="Calibri" w:hAnsi="Calibri" w:cs="Calibri"/>
          <w:i/>
          <w:iCs/>
          <w:sz w:val="20"/>
          <w:szCs w:val="20"/>
        </w:rPr>
      </w:pPr>
    </w:p>
    <w:p w:rsidR="00EC7C34" w:rsidRDefault="00EC7C34" w:rsidP="003B5D7B">
      <w:pPr>
        <w:spacing w:before="0" w:after="0" w:line="240" w:lineRule="auto"/>
        <w:rPr>
          <w:rFonts w:ascii="Calibri" w:hAnsi="Calibri" w:cs="Calibri"/>
          <w:i/>
          <w:iCs/>
          <w:sz w:val="20"/>
          <w:szCs w:val="20"/>
        </w:rPr>
      </w:pPr>
    </w:p>
    <w:p w:rsidR="00EC7C34" w:rsidRDefault="00EC7C34" w:rsidP="003B5D7B">
      <w:pPr>
        <w:spacing w:before="0" w:after="0" w:line="240" w:lineRule="auto"/>
        <w:rPr>
          <w:rFonts w:ascii="Calibri" w:hAnsi="Calibri" w:cs="Calibri"/>
          <w:i/>
          <w:iCs/>
          <w:sz w:val="20"/>
          <w:szCs w:val="20"/>
        </w:rPr>
      </w:pPr>
      <w:r>
        <w:rPr>
          <w:rFonts w:ascii="Calibri" w:hAnsi="Calibri" w:cs="Calibri"/>
          <w:i/>
          <w:iCs/>
          <w:sz w:val="20"/>
          <w:szCs w:val="20"/>
        </w:rPr>
        <w:t xml:space="preserve">IMPORTANT NOTICE AND DISCLAIMER </w:t>
      </w:r>
    </w:p>
    <w:p w:rsidR="00EC7C34" w:rsidRPr="0083615A" w:rsidRDefault="00EC7C34" w:rsidP="0083615A">
      <w:pPr>
        <w:rPr>
          <w:rFonts w:ascii="Calibri" w:hAnsi="Calibri" w:cs="Calibri"/>
          <w:i/>
          <w:iCs/>
          <w:sz w:val="16"/>
          <w:szCs w:val="16"/>
        </w:rPr>
      </w:pPr>
      <w:r>
        <w:rPr>
          <w:rFonts w:ascii="Calibri" w:hAnsi="Calibri" w:cs="Calibri"/>
          <w:i/>
          <w:iCs/>
          <w:sz w:val="16"/>
          <w:szCs w:val="16"/>
        </w:rPr>
        <w:t xml:space="preserve">The New Zealand Fixed Income Commentary is given in good faith and has been prepared from published information and other sources believed to be reliable, accurate and complete at the time of preparation but its accuracy and completeness is not guaranteed. Information and any analysis, opinions or views contained herein reflect a judgement at the date of preparation and are subject to change without notice. The information and any analysis, opinions or views made or referred to is for general information purposes only. To the extent that any such contents constitute advice, they do not take into account any person’s particular financial situation or goals, and accordingly, do not constitute personalised financial advice under the Financial Advisers Act 2008, nor do they constitute  advice  of a legal, tax, accounting or other nature to any person.. The bond market is volatile. The price, value and income derived from investments may fluctuate in that values can go down as well as up and investors may get back less than originally invested. Past performance is not indicative of future results, and </w:t>
      </w:r>
      <w:proofErr w:type="gramStart"/>
      <w:r>
        <w:rPr>
          <w:rFonts w:ascii="Calibri" w:hAnsi="Calibri" w:cs="Calibri"/>
          <w:i/>
          <w:iCs/>
          <w:sz w:val="16"/>
          <w:szCs w:val="16"/>
        </w:rPr>
        <w:t>no</w:t>
      </w:r>
      <w:proofErr w:type="gramEnd"/>
      <w:r>
        <w:rPr>
          <w:rFonts w:ascii="Calibri" w:hAnsi="Calibri" w:cs="Calibri"/>
          <w:i/>
          <w:iCs/>
          <w:sz w:val="16"/>
          <w:szCs w:val="16"/>
        </w:rPr>
        <w:t xml:space="preserve"> representation or warranty, express or implied, is made regarding future performance. Bonds and bond funds carry interest rate risk (as interest rates </w:t>
      </w:r>
      <w:proofErr w:type="gramStart"/>
      <w:r>
        <w:rPr>
          <w:rFonts w:ascii="Calibri" w:hAnsi="Calibri" w:cs="Calibri"/>
          <w:i/>
          <w:iCs/>
          <w:sz w:val="16"/>
          <w:szCs w:val="16"/>
        </w:rPr>
        <w:t>rise</w:t>
      </w:r>
      <w:proofErr w:type="gramEnd"/>
      <w:r>
        <w:rPr>
          <w:rFonts w:ascii="Calibri" w:hAnsi="Calibri" w:cs="Calibri"/>
          <w:i/>
          <w:iCs/>
          <w:sz w:val="16"/>
          <w:szCs w:val="16"/>
        </w:rPr>
        <w:t>, bond prices usually fall, and vice versa), inflation risk and issuer credit and default risks. Where an investment is denominated in a foreign currency, changes in rates of exchange may have an adverse effect on the value, price or income of the investment. Reference to taxation or the impact of taxation does not constitute tax advice. The rules on and bases of taxation can change. The value of any tax reliefs will depend on your circumstances. You should consult your tax adviser in order to understand the impact of investment decisions on your tax position. To the maximum extent permitted by law, no liability or responsibility is accepted for any loss or damage, direct or consequential, arising from or in connection with this document or its contents. Actual performance of investments managed by Harbour Asset Management Limited will be affected by management charges.</w:t>
      </w:r>
      <w:r>
        <w:rPr>
          <w:rFonts w:ascii="Calibri" w:hAnsi="Calibri" w:cs="Calibri"/>
          <w:i/>
          <w:iCs/>
          <w:sz w:val="16"/>
          <w:szCs w:val="16"/>
          <w:lang w:val="en-US"/>
        </w:rPr>
        <w:t xml:space="preserve"> No person guarantees the performance of funds managed by </w:t>
      </w:r>
      <w:proofErr w:type="spellStart"/>
      <w:r>
        <w:rPr>
          <w:rFonts w:ascii="Calibri" w:hAnsi="Calibri" w:cs="Calibri"/>
          <w:i/>
          <w:iCs/>
          <w:sz w:val="16"/>
          <w:szCs w:val="16"/>
          <w:lang w:val="en-US"/>
        </w:rPr>
        <w:t>Harbour</w:t>
      </w:r>
      <w:proofErr w:type="spellEnd"/>
      <w:r>
        <w:rPr>
          <w:rFonts w:ascii="Calibri" w:hAnsi="Calibri" w:cs="Calibri"/>
          <w:i/>
          <w:iCs/>
          <w:sz w:val="16"/>
          <w:szCs w:val="16"/>
          <w:lang w:val="en-US"/>
        </w:rPr>
        <w:t xml:space="preserve"> Asset Management Limited.</w:t>
      </w:r>
    </w:p>
    <w:sectPr w:rsidR="00EC7C34" w:rsidRPr="0083615A" w:rsidSect="006B5BA3">
      <w:headerReference w:type="first" r:id="rId12"/>
      <w:footerReference w:type="first" r:id="rId13"/>
      <w:pgSz w:w="11907" w:h="16840" w:code="9"/>
      <w:pgMar w:top="1304" w:right="964" w:bottom="1440" w:left="1440" w:header="709" w:footer="709" w:gutter="0"/>
      <w:cols w:space="708"/>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6182" w:rsidRDefault="00F26182">
      <w:r>
        <w:separator/>
      </w:r>
    </w:p>
  </w:endnote>
  <w:endnote w:type="continuationSeparator" w:id="0">
    <w:p w:rsidR="00F26182" w:rsidRDefault="00F2618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Times-Roman">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C34" w:rsidRPr="008F74FC" w:rsidRDefault="005D6065" w:rsidP="008F74FC">
    <w:pPr>
      <w:rPr>
        <w:sz w:val="16"/>
        <w:szCs w:val="16"/>
      </w:rPr>
    </w:pPr>
    <w:r w:rsidRPr="005D6065">
      <w:rPr>
        <w:noProof/>
        <w:lang w:eastAsia="en-NZ"/>
      </w:rPr>
      <w:pict>
        <v:rect id="_x0000_s2050" style="position:absolute;margin-left:0;margin-top:0;width:595.3pt;height:93.55pt;z-index:-1;mso-position-horizontal:left;mso-position-horizontal-relative:page;mso-position-vertical:bottom;mso-position-vertical-relative:page" fillcolor="#eaeaea" stroked="f">
          <w10:wrap anchorx="page" anchory="pag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6182" w:rsidRDefault="00F26182">
      <w:r>
        <w:separator/>
      </w:r>
    </w:p>
  </w:footnote>
  <w:footnote w:type="continuationSeparator" w:id="0">
    <w:p w:rsidR="00F26182" w:rsidRDefault="00F26182">
      <w:r>
        <w:continuationSeparator/>
      </w:r>
    </w:p>
  </w:footnote>
  <w:footnote w:id="1">
    <w:p w:rsidR="00EC7C34" w:rsidRDefault="00EC7C34">
      <w:pPr>
        <w:pStyle w:val="FootnoteText"/>
      </w:pPr>
      <w:r w:rsidRPr="0097003C">
        <w:rPr>
          <w:rStyle w:val="FootnoteReference"/>
          <w:sz w:val="16"/>
          <w:szCs w:val="16"/>
        </w:rPr>
        <w:footnoteRef/>
      </w:r>
      <w:r w:rsidRPr="0097003C">
        <w:rPr>
          <w:sz w:val="16"/>
          <w:szCs w:val="16"/>
        </w:rPr>
        <w:t xml:space="preserve">  Bill Gross, the head of world’s largest bond fund manager, PIMCO, was one of the worst affected by this </w:t>
      </w:r>
      <w:r>
        <w:rPr>
          <w:sz w:val="16"/>
          <w:szCs w:val="16"/>
        </w:rPr>
        <w:t xml:space="preserve">cruel </w:t>
      </w:r>
      <w:r w:rsidRPr="0097003C">
        <w:rPr>
          <w:sz w:val="16"/>
          <w:szCs w:val="16"/>
        </w:rPr>
        <w:t>twist of fate.   He has been one of the most vocal critics of the US fiscal position and famously sold all the holdings of US Treasuries in his flagship fund early in the year.  Following the US sovereign downgrade, his Fund lost 0.4 percent in August, underperforming almost 90 percent of its peers, according to Bloomberg data.</w:t>
      </w:r>
    </w:p>
  </w:footnote>
  <w:footnote w:id="2">
    <w:p w:rsidR="00EC7C34" w:rsidRDefault="00EC7C34">
      <w:pPr>
        <w:pStyle w:val="FootnoteText"/>
      </w:pPr>
      <w:r w:rsidRPr="003F2437">
        <w:rPr>
          <w:rStyle w:val="FootnoteReference"/>
          <w:sz w:val="16"/>
          <w:szCs w:val="16"/>
        </w:rPr>
        <w:footnoteRef/>
      </w:r>
      <w:r w:rsidRPr="003F2437">
        <w:rPr>
          <w:sz w:val="16"/>
          <w:szCs w:val="16"/>
        </w:rPr>
        <w:t xml:space="preserve"> There are significant difference in demographics, the strength of the banking systems, and the aggressiveness of monetary policy responses.  See “What’s the difference between Japan and the US?” Barclays Capital, Economic Research, 31 August 2011. </w:t>
      </w:r>
    </w:p>
  </w:footnote>
  <w:footnote w:id="3">
    <w:p w:rsidR="00EC7C34" w:rsidRDefault="00EC7C34">
      <w:pPr>
        <w:pStyle w:val="FootnoteText"/>
      </w:pPr>
      <w:r w:rsidRPr="0097003C">
        <w:rPr>
          <w:rStyle w:val="FootnoteReference"/>
          <w:sz w:val="16"/>
          <w:szCs w:val="16"/>
        </w:rPr>
        <w:footnoteRef/>
      </w:r>
      <w:r w:rsidRPr="0097003C">
        <w:rPr>
          <w:sz w:val="16"/>
          <w:szCs w:val="16"/>
        </w:rPr>
        <w:t xml:space="preserve"> In June 2011, NZ</w:t>
      </w:r>
      <w:r>
        <w:rPr>
          <w:sz w:val="16"/>
          <w:szCs w:val="16"/>
        </w:rPr>
        <w:t>’s</w:t>
      </w:r>
      <w:r w:rsidRPr="0097003C">
        <w:rPr>
          <w:sz w:val="16"/>
          <w:szCs w:val="16"/>
        </w:rPr>
        <w:t xml:space="preserve"> exports </w:t>
      </w:r>
      <w:r>
        <w:rPr>
          <w:sz w:val="16"/>
          <w:szCs w:val="16"/>
        </w:rPr>
        <w:t xml:space="preserve">were </w:t>
      </w:r>
      <w:r w:rsidRPr="0097003C">
        <w:rPr>
          <w:sz w:val="16"/>
          <w:szCs w:val="16"/>
        </w:rPr>
        <w:t xml:space="preserve">divided between: Asia (40%), Australia (22%), Europe (12%), US (9%), </w:t>
      </w:r>
      <w:proofErr w:type="gramStart"/>
      <w:r w:rsidRPr="0097003C">
        <w:rPr>
          <w:sz w:val="16"/>
          <w:szCs w:val="16"/>
        </w:rPr>
        <w:t>Other</w:t>
      </w:r>
      <w:proofErr w:type="gramEnd"/>
      <w:r w:rsidRPr="0097003C">
        <w:rPr>
          <w:sz w:val="16"/>
          <w:szCs w:val="16"/>
        </w:rPr>
        <w:t xml:space="preserve"> (17%).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C34" w:rsidRDefault="005D6065">
    <w:pPr>
      <w:pStyle w:val="Header"/>
    </w:pPr>
    <w:r>
      <w:rPr>
        <w:noProof/>
        <w:lang w:eastAsia="en-N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2049" type="#_x0000_t75" alt="HAM_Logo_Pos_RGB400" style="position:absolute;margin-left:276.95pt;margin-top:63pt;width:205pt;height:34.9pt;z-index:-2;visibility:visible;mso-position-vertical-relative:page">
          <v:imagedata r:id="rId1" o:title=""/>
          <w10:wrap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43E45"/>
    <w:multiLevelType w:val="hybridMultilevel"/>
    <w:tmpl w:val="E3920A84"/>
    <w:lvl w:ilvl="0" w:tplc="C3947B8E">
      <w:start w:val="1"/>
      <w:numFmt w:val="bullet"/>
      <w:pStyle w:val="Normal-bullet"/>
      <w:lvlText w:val=""/>
      <w:lvlJc w:val="left"/>
      <w:pPr>
        <w:tabs>
          <w:tab w:val="num" w:pos="0"/>
        </w:tabs>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nsid w:val="134D1AC3"/>
    <w:multiLevelType w:val="hybridMultilevel"/>
    <w:tmpl w:val="BE08D18E"/>
    <w:lvl w:ilvl="0" w:tplc="790A04D6">
      <w:start w:val="1"/>
      <w:numFmt w:val="bullet"/>
      <w:pStyle w:val="KeyPointsBullet1"/>
      <w:lvlText w:val=""/>
      <w:lvlJc w:val="left"/>
      <w:pPr>
        <w:tabs>
          <w:tab w:val="num" w:pos="360"/>
        </w:tabs>
        <w:ind w:left="360" w:hanging="360"/>
      </w:pPr>
      <w:rPr>
        <w:rFonts w:ascii="Symbol" w:hAnsi="Symbol" w:cs="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cs="Wingdings" w:hint="default"/>
      </w:rPr>
    </w:lvl>
    <w:lvl w:ilvl="3" w:tplc="0C090001">
      <w:start w:val="1"/>
      <w:numFmt w:val="bullet"/>
      <w:lvlText w:val=""/>
      <w:lvlJc w:val="left"/>
      <w:pPr>
        <w:tabs>
          <w:tab w:val="num" w:pos="2880"/>
        </w:tabs>
        <w:ind w:left="2880" w:hanging="360"/>
      </w:pPr>
      <w:rPr>
        <w:rFonts w:ascii="Symbol" w:hAnsi="Symbol" w:cs="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cs="Wingdings" w:hint="default"/>
      </w:rPr>
    </w:lvl>
    <w:lvl w:ilvl="6" w:tplc="0C090001">
      <w:start w:val="1"/>
      <w:numFmt w:val="bullet"/>
      <w:lvlText w:val=""/>
      <w:lvlJc w:val="left"/>
      <w:pPr>
        <w:tabs>
          <w:tab w:val="num" w:pos="5040"/>
        </w:tabs>
        <w:ind w:left="5040" w:hanging="360"/>
      </w:pPr>
      <w:rPr>
        <w:rFonts w:ascii="Symbol" w:hAnsi="Symbol" w:cs="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cs="Wingdings" w:hint="default"/>
      </w:rPr>
    </w:lvl>
  </w:abstractNum>
  <w:abstractNum w:abstractNumId="2">
    <w:nsid w:val="3D3C653C"/>
    <w:multiLevelType w:val="hybridMultilevel"/>
    <w:tmpl w:val="B10A78C4"/>
    <w:lvl w:ilvl="0" w:tplc="14090001">
      <w:start w:val="1"/>
      <w:numFmt w:val="bullet"/>
      <w:lvlText w:val=""/>
      <w:lvlJc w:val="left"/>
      <w:pPr>
        <w:ind w:left="360" w:hanging="360"/>
      </w:pPr>
      <w:rPr>
        <w:rFonts w:ascii="Symbol" w:hAnsi="Symbol" w:cs="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cs="Wingdings" w:hint="default"/>
      </w:rPr>
    </w:lvl>
    <w:lvl w:ilvl="3" w:tplc="14090001">
      <w:start w:val="1"/>
      <w:numFmt w:val="bullet"/>
      <w:lvlText w:val=""/>
      <w:lvlJc w:val="left"/>
      <w:pPr>
        <w:ind w:left="2520" w:hanging="360"/>
      </w:pPr>
      <w:rPr>
        <w:rFonts w:ascii="Symbol" w:hAnsi="Symbol" w:cs="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cs="Wingdings" w:hint="default"/>
      </w:rPr>
    </w:lvl>
    <w:lvl w:ilvl="6" w:tplc="14090001">
      <w:start w:val="1"/>
      <w:numFmt w:val="bullet"/>
      <w:lvlText w:val=""/>
      <w:lvlJc w:val="left"/>
      <w:pPr>
        <w:ind w:left="4680" w:hanging="360"/>
      </w:pPr>
      <w:rPr>
        <w:rFonts w:ascii="Symbol" w:hAnsi="Symbol" w:cs="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cs="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doNotTrackMoves/>
  <w:defaultTabStop w:val="720"/>
  <w:doNotHyphenateCaps/>
  <w:drawingGridHorizontalSpacing w:val="90"/>
  <w:displayHorizontalDrawingGridEvery w:val="2"/>
  <w:characterSpacingControl w:val="doNotCompress"/>
  <w:doNotValidateAgainstSchema/>
  <w:doNotDemarcateInvalidXml/>
  <w:hdrShapeDefaults>
    <o:shapedefaults v:ext="edit" spidmax="4098"/>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15498"/>
    <w:rsid w:val="00000963"/>
    <w:rsid w:val="000012AD"/>
    <w:rsid w:val="000015A6"/>
    <w:rsid w:val="00002C24"/>
    <w:rsid w:val="00004FE2"/>
    <w:rsid w:val="00011FB7"/>
    <w:rsid w:val="000120C8"/>
    <w:rsid w:val="0001505F"/>
    <w:rsid w:val="00015498"/>
    <w:rsid w:val="00017D53"/>
    <w:rsid w:val="00020D93"/>
    <w:rsid w:val="00021303"/>
    <w:rsid w:val="00021507"/>
    <w:rsid w:val="00022DC1"/>
    <w:rsid w:val="00030931"/>
    <w:rsid w:val="0003098B"/>
    <w:rsid w:val="00035C4F"/>
    <w:rsid w:val="000430EC"/>
    <w:rsid w:val="00047D01"/>
    <w:rsid w:val="0005291C"/>
    <w:rsid w:val="00056905"/>
    <w:rsid w:val="00063512"/>
    <w:rsid w:val="00065AC6"/>
    <w:rsid w:val="00066270"/>
    <w:rsid w:val="00066628"/>
    <w:rsid w:val="000713A5"/>
    <w:rsid w:val="000808A1"/>
    <w:rsid w:val="000827C7"/>
    <w:rsid w:val="000845C7"/>
    <w:rsid w:val="000874E1"/>
    <w:rsid w:val="000918D7"/>
    <w:rsid w:val="000927F9"/>
    <w:rsid w:val="0009397B"/>
    <w:rsid w:val="000971D7"/>
    <w:rsid w:val="00097766"/>
    <w:rsid w:val="000A0CA3"/>
    <w:rsid w:val="000A246A"/>
    <w:rsid w:val="000A5E9C"/>
    <w:rsid w:val="000A64AB"/>
    <w:rsid w:val="000A702F"/>
    <w:rsid w:val="000A72F3"/>
    <w:rsid w:val="000A74C9"/>
    <w:rsid w:val="000A78E3"/>
    <w:rsid w:val="000B1632"/>
    <w:rsid w:val="000B3101"/>
    <w:rsid w:val="000B50A2"/>
    <w:rsid w:val="000B6F52"/>
    <w:rsid w:val="000C36E9"/>
    <w:rsid w:val="000C6645"/>
    <w:rsid w:val="000D08D6"/>
    <w:rsid w:val="000D5625"/>
    <w:rsid w:val="000E0DB2"/>
    <w:rsid w:val="000E2A74"/>
    <w:rsid w:val="000E3F1B"/>
    <w:rsid w:val="000E43F1"/>
    <w:rsid w:val="000E6CB0"/>
    <w:rsid w:val="000F39D7"/>
    <w:rsid w:val="00102980"/>
    <w:rsid w:val="00105D0C"/>
    <w:rsid w:val="00107BC6"/>
    <w:rsid w:val="00112331"/>
    <w:rsid w:val="00114B09"/>
    <w:rsid w:val="00115D6D"/>
    <w:rsid w:val="00116405"/>
    <w:rsid w:val="00117DB9"/>
    <w:rsid w:val="00120C1B"/>
    <w:rsid w:val="00121A59"/>
    <w:rsid w:val="0012320B"/>
    <w:rsid w:val="0012447D"/>
    <w:rsid w:val="001418C8"/>
    <w:rsid w:val="0014213B"/>
    <w:rsid w:val="00142FC3"/>
    <w:rsid w:val="00145EA8"/>
    <w:rsid w:val="001462A8"/>
    <w:rsid w:val="00146B78"/>
    <w:rsid w:val="0014799A"/>
    <w:rsid w:val="0015180A"/>
    <w:rsid w:val="001524B7"/>
    <w:rsid w:val="001534C6"/>
    <w:rsid w:val="0015350A"/>
    <w:rsid w:val="0015474D"/>
    <w:rsid w:val="00156815"/>
    <w:rsid w:val="00156F7A"/>
    <w:rsid w:val="001615C1"/>
    <w:rsid w:val="0016170D"/>
    <w:rsid w:val="0016197E"/>
    <w:rsid w:val="00164A5B"/>
    <w:rsid w:val="00166219"/>
    <w:rsid w:val="00167720"/>
    <w:rsid w:val="00174959"/>
    <w:rsid w:val="00181756"/>
    <w:rsid w:val="00182200"/>
    <w:rsid w:val="00182ED6"/>
    <w:rsid w:val="0018544C"/>
    <w:rsid w:val="001855E2"/>
    <w:rsid w:val="00186CB6"/>
    <w:rsid w:val="001969B3"/>
    <w:rsid w:val="0019736D"/>
    <w:rsid w:val="001A1ABA"/>
    <w:rsid w:val="001A4F2F"/>
    <w:rsid w:val="001A5583"/>
    <w:rsid w:val="001B0520"/>
    <w:rsid w:val="001C4610"/>
    <w:rsid w:val="001C59A8"/>
    <w:rsid w:val="001C6D4C"/>
    <w:rsid w:val="001C7EF3"/>
    <w:rsid w:val="001D11D2"/>
    <w:rsid w:val="001D4E35"/>
    <w:rsid w:val="001E186C"/>
    <w:rsid w:val="001E4B86"/>
    <w:rsid w:val="001E5DEA"/>
    <w:rsid w:val="001F3719"/>
    <w:rsid w:val="001F423E"/>
    <w:rsid w:val="001F5C14"/>
    <w:rsid w:val="001F6075"/>
    <w:rsid w:val="00200084"/>
    <w:rsid w:val="00200559"/>
    <w:rsid w:val="00201C38"/>
    <w:rsid w:val="002030A1"/>
    <w:rsid w:val="0021033A"/>
    <w:rsid w:val="00211ECB"/>
    <w:rsid w:val="002125AB"/>
    <w:rsid w:val="00212FE6"/>
    <w:rsid w:val="00217571"/>
    <w:rsid w:val="00220D4D"/>
    <w:rsid w:val="00230765"/>
    <w:rsid w:val="00232036"/>
    <w:rsid w:val="00235609"/>
    <w:rsid w:val="00235F7B"/>
    <w:rsid w:val="00236D5D"/>
    <w:rsid w:val="00241236"/>
    <w:rsid w:val="00241EDA"/>
    <w:rsid w:val="00245017"/>
    <w:rsid w:val="002457E8"/>
    <w:rsid w:val="00246783"/>
    <w:rsid w:val="002472BB"/>
    <w:rsid w:val="00252A13"/>
    <w:rsid w:val="00253567"/>
    <w:rsid w:val="00261080"/>
    <w:rsid w:val="00263D95"/>
    <w:rsid w:val="00271041"/>
    <w:rsid w:val="00271D8E"/>
    <w:rsid w:val="00273E34"/>
    <w:rsid w:val="00274508"/>
    <w:rsid w:val="00277B05"/>
    <w:rsid w:val="00280C47"/>
    <w:rsid w:val="00282572"/>
    <w:rsid w:val="00284F72"/>
    <w:rsid w:val="002855C6"/>
    <w:rsid w:val="00286FC2"/>
    <w:rsid w:val="0029052B"/>
    <w:rsid w:val="002A1657"/>
    <w:rsid w:val="002A2B81"/>
    <w:rsid w:val="002A2E42"/>
    <w:rsid w:val="002A2FC3"/>
    <w:rsid w:val="002A4537"/>
    <w:rsid w:val="002A55A2"/>
    <w:rsid w:val="002A6715"/>
    <w:rsid w:val="002B5430"/>
    <w:rsid w:val="002B545F"/>
    <w:rsid w:val="002C050D"/>
    <w:rsid w:val="002D1E59"/>
    <w:rsid w:val="002D2791"/>
    <w:rsid w:val="002D4CDE"/>
    <w:rsid w:val="002D5624"/>
    <w:rsid w:val="002D5F2B"/>
    <w:rsid w:val="002E12AA"/>
    <w:rsid w:val="002E6DD1"/>
    <w:rsid w:val="002F022F"/>
    <w:rsid w:val="002F4E83"/>
    <w:rsid w:val="002F6A96"/>
    <w:rsid w:val="003004A2"/>
    <w:rsid w:val="00301278"/>
    <w:rsid w:val="0030320F"/>
    <w:rsid w:val="00303E06"/>
    <w:rsid w:val="0031401E"/>
    <w:rsid w:val="00316A27"/>
    <w:rsid w:val="0032154C"/>
    <w:rsid w:val="00324F0F"/>
    <w:rsid w:val="003250F3"/>
    <w:rsid w:val="00331AA8"/>
    <w:rsid w:val="00331FE3"/>
    <w:rsid w:val="003405DD"/>
    <w:rsid w:val="00341754"/>
    <w:rsid w:val="0034187B"/>
    <w:rsid w:val="00342E5D"/>
    <w:rsid w:val="003433F7"/>
    <w:rsid w:val="00343AA1"/>
    <w:rsid w:val="003442F5"/>
    <w:rsid w:val="00345261"/>
    <w:rsid w:val="003514B4"/>
    <w:rsid w:val="00361302"/>
    <w:rsid w:val="00362996"/>
    <w:rsid w:val="00364C73"/>
    <w:rsid w:val="0036546F"/>
    <w:rsid w:val="00365CA1"/>
    <w:rsid w:val="003673D2"/>
    <w:rsid w:val="00376DB9"/>
    <w:rsid w:val="0037738B"/>
    <w:rsid w:val="00383995"/>
    <w:rsid w:val="0038477A"/>
    <w:rsid w:val="00387EC8"/>
    <w:rsid w:val="0039114F"/>
    <w:rsid w:val="00391C45"/>
    <w:rsid w:val="00391CBE"/>
    <w:rsid w:val="00396109"/>
    <w:rsid w:val="003A3C4F"/>
    <w:rsid w:val="003A7685"/>
    <w:rsid w:val="003A7A20"/>
    <w:rsid w:val="003B5D7B"/>
    <w:rsid w:val="003B6E25"/>
    <w:rsid w:val="003B6E51"/>
    <w:rsid w:val="003C03FE"/>
    <w:rsid w:val="003C0BF8"/>
    <w:rsid w:val="003C0E8C"/>
    <w:rsid w:val="003C2846"/>
    <w:rsid w:val="003C450C"/>
    <w:rsid w:val="003D1D7F"/>
    <w:rsid w:val="003D58E3"/>
    <w:rsid w:val="003D7A91"/>
    <w:rsid w:val="003D7AAF"/>
    <w:rsid w:val="003E06B9"/>
    <w:rsid w:val="003E32F7"/>
    <w:rsid w:val="003F1EA7"/>
    <w:rsid w:val="003F2437"/>
    <w:rsid w:val="003F2C50"/>
    <w:rsid w:val="003F4EAF"/>
    <w:rsid w:val="003F5C91"/>
    <w:rsid w:val="004023E4"/>
    <w:rsid w:val="00414344"/>
    <w:rsid w:val="00416C2D"/>
    <w:rsid w:val="00417CE1"/>
    <w:rsid w:val="0042057A"/>
    <w:rsid w:val="00424C9D"/>
    <w:rsid w:val="00427993"/>
    <w:rsid w:val="0043193C"/>
    <w:rsid w:val="00432440"/>
    <w:rsid w:val="00434D78"/>
    <w:rsid w:val="00436546"/>
    <w:rsid w:val="004412D3"/>
    <w:rsid w:val="004430C7"/>
    <w:rsid w:val="004442F3"/>
    <w:rsid w:val="00444BFC"/>
    <w:rsid w:val="00446A5C"/>
    <w:rsid w:val="00447832"/>
    <w:rsid w:val="00457119"/>
    <w:rsid w:val="0046106B"/>
    <w:rsid w:val="00472953"/>
    <w:rsid w:val="004731F5"/>
    <w:rsid w:val="00476A98"/>
    <w:rsid w:val="00480B17"/>
    <w:rsid w:val="0048182A"/>
    <w:rsid w:val="00484134"/>
    <w:rsid w:val="004845B2"/>
    <w:rsid w:val="00485302"/>
    <w:rsid w:val="00492C60"/>
    <w:rsid w:val="00496FC3"/>
    <w:rsid w:val="0049783F"/>
    <w:rsid w:val="004A1A02"/>
    <w:rsid w:val="004A24B2"/>
    <w:rsid w:val="004A5625"/>
    <w:rsid w:val="004A6577"/>
    <w:rsid w:val="004A6FDC"/>
    <w:rsid w:val="004B1D10"/>
    <w:rsid w:val="004B5B79"/>
    <w:rsid w:val="004C1241"/>
    <w:rsid w:val="004C1F3D"/>
    <w:rsid w:val="004C6A73"/>
    <w:rsid w:val="004D53C5"/>
    <w:rsid w:val="004D54B3"/>
    <w:rsid w:val="004D7717"/>
    <w:rsid w:val="004E206F"/>
    <w:rsid w:val="004E6CCB"/>
    <w:rsid w:val="004F1B19"/>
    <w:rsid w:val="004F479C"/>
    <w:rsid w:val="0050173B"/>
    <w:rsid w:val="005038FA"/>
    <w:rsid w:val="005049C2"/>
    <w:rsid w:val="00505126"/>
    <w:rsid w:val="0051115D"/>
    <w:rsid w:val="005202F0"/>
    <w:rsid w:val="005217E3"/>
    <w:rsid w:val="0052776B"/>
    <w:rsid w:val="0053016E"/>
    <w:rsid w:val="00534204"/>
    <w:rsid w:val="00537080"/>
    <w:rsid w:val="00542829"/>
    <w:rsid w:val="005445B0"/>
    <w:rsid w:val="00544FBA"/>
    <w:rsid w:val="00553078"/>
    <w:rsid w:val="00554449"/>
    <w:rsid w:val="00556D54"/>
    <w:rsid w:val="005571AD"/>
    <w:rsid w:val="00562051"/>
    <w:rsid w:val="00563112"/>
    <w:rsid w:val="00564D26"/>
    <w:rsid w:val="005673F3"/>
    <w:rsid w:val="00571A72"/>
    <w:rsid w:val="005722F7"/>
    <w:rsid w:val="00572882"/>
    <w:rsid w:val="00575F61"/>
    <w:rsid w:val="00577B9C"/>
    <w:rsid w:val="005876FC"/>
    <w:rsid w:val="00590B16"/>
    <w:rsid w:val="00591032"/>
    <w:rsid w:val="005912D5"/>
    <w:rsid w:val="0059567F"/>
    <w:rsid w:val="005A5651"/>
    <w:rsid w:val="005A7D47"/>
    <w:rsid w:val="005B019A"/>
    <w:rsid w:val="005B20D2"/>
    <w:rsid w:val="005B248D"/>
    <w:rsid w:val="005B4445"/>
    <w:rsid w:val="005C4F98"/>
    <w:rsid w:val="005C696C"/>
    <w:rsid w:val="005D0405"/>
    <w:rsid w:val="005D5346"/>
    <w:rsid w:val="005D6065"/>
    <w:rsid w:val="005E21F8"/>
    <w:rsid w:val="005E68F1"/>
    <w:rsid w:val="005E7667"/>
    <w:rsid w:val="005F3FF8"/>
    <w:rsid w:val="005F43A0"/>
    <w:rsid w:val="005F4D39"/>
    <w:rsid w:val="005F7B8C"/>
    <w:rsid w:val="00601E27"/>
    <w:rsid w:val="006078F3"/>
    <w:rsid w:val="0061423D"/>
    <w:rsid w:val="00620FD7"/>
    <w:rsid w:val="0062285E"/>
    <w:rsid w:val="006232E2"/>
    <w:rsid w:val="00624232"/>
    <w:rsid w:val="00625C31"/>
    <w:rsid w:val="0062726C"/>
    <w:rsid w:val="00630D87"/>
    <w:rsid w:val="00631FD8"/>
    <w:rsid w:val="0063555C"/>
    <w:rsid w:val="006368B6"/>
    <w:rsid w:val="00636B9A"/>
    <w:rsid w:val="00636E40"/>
    <w:rsid w:val="0064541A"/>
    <w:rsid w:val="0064649F"/>
    <w:rsid w:val="006509A0"/>
    <w:rsid w:val="006521EE"/>
    <w:rsid w:val="00652611"/>
    <w:rsid w:val="0065666C"/>
    <w:rsid w:val="0066450F"/>
    <w:rsid w:val="00670143"/>
    <w:rsid w:val="00670A8A"/>
    <w:rsid w:val="0067590B"/>
    <w:rsid w:val="00681C7D"/>
    <w:rsid w:val="0068413F"/>
    <w:rsid w:val="00684FAF"/>
    <w:rsid w:val="0068600E"/>
    <w:rsid w:val="00694E47"/>
    <w:rsid w:val="00696DD9"/>
    <w:rsid w:val="006979E9"/>
    <w:rsid w:val="006A2767"/>
    <w:rsid w:val="006A3957"/>
    <w:rsid w:val="006A75C2"/>
    <w:rsid w:val="006B131E"/>
    <w:rsid w:val="006B18C1"/>
    <w:rsid w:val="006B394F"/>
    <w:rsid w:val="006B5BA3"/>
    <w:rsid w:val="006B78AC"/>
    <w:rsid w:val="006C454E"/>
    <w:rsid w:val="006C5411"/>
    <w:rsid w:val="006C5C10"/>
    <w:rsid w:val="006C5D83"/>
    <w:rsid w:val="006C6F49"/>
    <w:rsid w:val="006D01A8"/>
    <w:rsid w:val="006D0ECA"/>
    <w:rsid w:val="006D2C5C"/>
    <w:rsid w:val="006D574A"/>
    <w:rsid w:val="006D6909"/>
    <w:rsid w:val="006E0BE7"/>
    <w:rsid w:val="006E0C0F"/>
    <w:rsid w:val="006E4971"/>
    <w:rsid w:val="006F20AF"/>
    <w:rsid w:val="006F231E"/>
    <w:rsid w:val="006F66E6"/>
    <w:rsid w:val="006F7023"/>
    <w:rsid w:val="00705A09"/>
    <w:rsid w:val="00706A1F"/>
    <w:rsid w:val="00713832"/>
    <w:rsid w:val="00717C92"/>
    <w:rsid w:val="00723546"/>
    <w:rsid w:val="00725743"/>
    <w:rsid w:val="0072688D"/>
    <w:rsid w:val="00731069"/>
    <w:rsid w:val="0073152B"/>
    <w:rsid w:val="0073182C"/>
    <w:rsid w:val="00732CB8"/>
    <w:rsid w:val="007402AD"/>
    <w:rsid w:val="00744843"/>
    <w:rsid w:val="00747FFA"/>
    <w:rsid w:val="00751307"/>
    <w:rsid w:val="0075412F"/>
    <w:rsid w:val="0075572B"/>
    <w:rsid w:val="00755FDB"/>
    <w:rsid w:val="00764289"/>
    <w:rsid w:val="007677B1"/>
    <w:rsid w:val="00771638"/>
    <w:rsid w:val="007724F6"/>
    <w:rsid w:val="0077527F"/>
    <w:rsid w:val="00780EF9"/>
    <w:rsid w:val="00781CD7"/>
    <w:rsid w:val="0078438B"/>
    <w:rsid w:val="00794B8F"/>
    <w:rsid w:val="0079543D"/>
    <w:rsid w:val="007A3468"/>
    <w:rsid w:val="007A5EB5"/>
    <w:rsid w:val="007A70A7"/>
    <w:rsid w:val="007A7634"/>
    <w:rsid w:val="007C141B"/>
    <w:rsid w:val="007C285F"/>
    <w:rsid w:val="007C2F25"/>
    <w:rsid w:val="007C3BCE"/>
    <w:rsid w:val="007C4B0F"/>
    <w:rsid w:val="007D0931"/>
    <w:rsid w:val="007D39D9"/>
    <w:rsid w:val="007D6682"/>
    <w:rsid w:val="007D6F88"/>
    <w:rsid w:val="007D7E50"/>
    <w:rsid w:val="007E26F4"/>
    <w:rsid w:val="007E28E5"/>
    <w:rsid w:val="007E5592"/>
    <w:rsid w:val="007E628F"/>
    <w:rsid w:val="008033D5"/>
    <w:rsid w:val="00811695"/>
    <w:rsid w:val="00813726"/>
    <w:rsid w:val="00813B34"/>
    <w:rsid w:val="00820709"/>
    <w:rsid w:val="00822A79"/>
    <w:rsid w:val="008263CC"/>
    <w:rsid w:val="0083026E"/>
    <w:rsid w:val="008305A4"/>
    <w:rsid w:val="008312A5"/>
    <w:rsid w:val="0083556B"/>
    <w:rsid w:val="0083615A"/>
    <w:rsid w:val="00846A7F"/>
    <w:rsid w:val="00847D50"/>
    <w:rsid w:val="00854B83"/>
    <w:rsid w:val="00855D0E"/>
    <w:rsid w:val="0086126B"/>
    <w:rsid w:val="008622E2"/>
    <w:rsid w:val="00864014"/>
    <w:rsid w:val="00865470"/>
    <w:rsid w:val="00872C7A"/>
    <w:rsid w:val="00877F42"/>
    <w:rsid w:val="00881FCD"/>
    <w:rsid w:val="008835AB"/>
    <w:rsid w:val="00885A28"/>
    <w:rsid w:val="008864BB"/>
    <w:rsid w:val="008873B3"/>
    <w:rsid w:val="00891A1C"/>
    <w:rsid w:val="0089752A"/>
    <w:rsid w:val="008A44DF"/>
    <w:rsid w:val="008A4D2E"/>
    <w:rsid w:val="008B2ED2"/>
    <w:rsid w:val="008B3503"/>
    <w:rsid w:val="008B388F"/>
    <w:rsid w:val="008B4378"/>
    <w:rsid w:val="008B5EAE"/>
    <w:rsid w:val="008B7280"/>
    <w:rsid w:val="008C289E"/>
    <w:rsid w:val="008D0C10"/>
    <w:rsid w:val="008D12C1"/>
    <w:rsid w:val="008D37DD"/>
    <w:rsid w:val="008D568C"/>
    <w:rsid w:val="008D6297"/>
    <w:rsid w:val="008D7F24"/>
    <w:rsid w:val="008E0842"/>
    <w:rsid w:val="008E24B3"/>
    <w:rsid w:val="008E3BBD"/>
    <w:rsid w:val="008E65A6"/>
    <w:rsid w:val="008E6695"/>
    <w:rsid w:val="008F6F86"/>
    <w:rsid w:val="008F72C1"/>
    <w:rsid w:val="008F74FC"/>
    <w:rsid w:val="009071EB"/>
    <w:rsid w:val="00910C39"/>
    <w:rsid w:val="00911F27"/>
    <w:rsid w:val="009225D7"/>
    <w:rsid w:val="009274F8"/>
    <w:rsid w:val="00927E69"/>
    <w:rsid w:val="0093053D"/>
    <w:rsid w:val="009348DC"/>
    <w:rsid w:val="00934A26"/>
    <w:rsid w:val="00934A40"/>
    <w:rsid w:val="00937447"/>
    <w:rsid w:val="00945603"/>
    <w:rsid w:val="00946273"/>
    <w:rsid w:val="00947328"/>
    <w:rsid w:val="00947D92"/>
    <w:rsid w:val="00950BBB"/>
    <w:rsid w:val="0096300F"/>
    <w:rsid w:val="00966352"/>
    <w:rsid w:val="0097003C"/>
    <w:rsid w:val="00971B11"/>
    <w:rsid w:val="0097304C"/>
    <w:rsid w:val="00973E0B"/>
    <w:rsid w:val="00974C31"/>
    <w:rsid w:val="00974E2E"/>
    <w:rsid w:val="00977843"/>
    <w:rsid w:val="00980BA5"/>
    <w:rsid w:val="00985AC4"/>
    <w:rsid w:val="00986C3E"/>
    <w:rsid w:val="00995A37"/>
    <w:rsid w:val="00995E03"/>
    <w:rsid w:val="009A2986"/>
    <w:rsid w:val="009A3A34"/>
    <w:rsid w:val="009A3A7B"/>
    <w:rsid w:val="009A4AF1"/>
    <w:rsid w:val="009A5348"/>
    <w:rsid w:val="009A6F7D"/>
    <w:rsid w:val="009A7CCF"/>
    <w:rsid w:val="009B073D"/>
    <w:rsid w:val="009B0A43"/>
    <w:rsid w:val="009B4AC5"/>
    <w:rsid w:val="009B5150"/>
    <w:rsid w:val="009B699F"/>
    <w:rsid w:val="009C04B8"/>
    <w:rsid w:val="009C04E9"/>
    <w:rsid w:val="009C1D94"/>
    <w:rsid w:val="009C3BB0"/>
    <w:rsid w:val="009C3CED"/>
    <w:rsid w:val="009C4C83"/>
    <w:rsid w:val="009D2F17"/>
    <w:rsid w:val="009D7365"/>
    <w:rsid w:val="009D7570"/>
    <w:rsid w:val="009E3285"/>
    <w:rsid w:val="009E4352"/>
    <w:rsid w:val="009E4B75"/>
    <w:rsid w:val="009E5302"/>
    <w:rsid w:val="009E5A2F"/>
    <w:rsid w:val="009E7C26"/>
    <w:rsid w:val="009F0394"/>
    <w:rsid w:val="009F4371"/>
    <w:rsid w:val="009F4831"/>
    <w:rsid w:val="009F542A"/>
    <w:rsid w:val="009F6704"/>
    <w:rsid w:val="00A0256D"/>
    <w:rsid w:val="00A04B20"/>
    <w:rsid w:val="00A06384"/>
    <w:rsid w:val="00A06787"/>
    <w:rsid w:val="00A07F7E"/>
    <w:rsid w:val="00A10942"/>
    <w:rsid w:val="00A13161"/>
    <w:rsid w:val="00A16C74"/>
    <w:rsid w:val="00A213BB"/>
    <w:rsid w:val="00A276B4"/>
    <w:rsid w:val="00A30DB9"/>
    <w:rsid w:val="00A31E25"/>
    <w:rsid w:val="00A347EB"/>
    <w:rsid w:val="00A3704D"/>
    <w:rsid w:val="00A4075E"/>
    <w:rsid w:val="00A42546"/>
    <w:rsid w:val="00A45283"/>
    <w:rsid w:val="00A47942"/>
    <w:rsid w:val="00A47A9B"/>
    <w:rsid w:val="00A512E3"/>
    <w:rsid w:val="00A53B9A"/>
    <w:rsid w:val="00A55839"/>
    <w:rsid w:val="00A60E40"/>
    <w:rsid w:val="00A63C76"/>
    <w:rsid w:val="00A67F00"/>
    <w:rsid w:val="00A76AAF"/>
    <w:rsid w:val="00A7752C"/>
    <w:rsid w:val="00A803B8"/>
    <w:rsid w:val="00A809AD"/>
    <w:rsid w:val="00A815DB"/>
    <w:rsid w:val="00A83921"/>
    <w:rsid w:val="00A84615"/>
    <w:rsid w:val="00A8538B"/>
    <w:rsid w:val="00A86EBF"/>
    <w:rsid w:val="00A9077B"/>
    <w:rsid w:val="00A97AC8"/>
    <w:rsid w:val="00AA1BDD"/>
    <w:rsid w:val="00AA41D7"/>
    <w:rsid w:val="00AA5D67"/>
    <w:rsid w:val="00AA6253"/>
    <w:rsid w:val="00AB2795"/>
    <w:rsid w:val="00AB7895"/>
    <w:rsid w:val="00AC1EC3"/>
    <w:rsid w:val="00AC3457"/>
    <w:rsid w:val="00AC537E"/>
    <w:rsid w:val="00AC5A56"/>
    <w:rsid w:val="00AD0797"/>
    <w:rsid w:val="00AD0945"/>
    <w:rsid w:val="00AD1D50"/>
    <w:rsid w:val="00AD292E"/>
    <w:rsid w:val="00AD6204"/>
    <w:rsid w:val="00AF15C3"/>
    <w:rsid w:val="00AF19D1"/>
    <w:rsid w:val="00AF1BFA"/>
    <w:rsid w:val="00AF4084"/>
    <w:rsid w:val="00AF5100"/>
    <w:rsid w:val="00B02D94"/>
    <w:rsid w:val="00B03133"/>
    <w:rsid w:val="00B03F8C"/>
    <w:rsid w:val="00B07173"/>
    <w:rsid w:val="00B13C82"/>
    <w:rsid w:val="00B14115"/>
    <w:rsid w:val="00B15C04"/>
    <w:rsid w:val="00B20320"/>
    <w:rsid w:val="00B2051F"/>
    <w:rsid w:val="00B20A93"/>
    <w:rsid w:val="00B20B3A"/>
    <w:rsid w:val="00B214F6"/>
    <w:rsid w:val="00B227B2"/>
    <w:rsid w:val="00B236BB"/>
    <w:rsid w:val="00B27F2A"/>
    <w:rsid w:val="00B31D0E"/>
    <w:rsid w:val="00B356CF"/>
    <w:rsid w:val="00B40844"/>
    <w:rsid w:val="00B43C55"/>
    <w:rsid w:val="00B45BD8"/>
    <w:rsid w:val="00B476CB"/>
    <w:rsid w:val="00B50FD3"/>
    <w:rsid w:val="00B512B0"/>
    <w:rsid w:val="00B5174B"/>
    <w:rsid w:val="00B52F13"/>
    <w:rsid w:val="00B548A1"/>
    <w:rsid w:val="00B57018"/>
    <w:rsid w:val="00B61468"/>
    <w:rsid w:val="00B65EA9"/>
    <w:rsid w:val="00B66F3C"/>
    <w:rsid w:val="00B7121E"/>
    <w:rsid w:val="00B72464"/>
    <w:rsid w:val="00B74F4B"/>
    <w:rsid w:val="00B755D8"/>
    <w:rsid w:val="00B83D32"/>
    <w:rsid w:val="00B938AD"/>
    <w:rsid w:val="00B94A20"/>
    <w:rsid w:val="00BA1373"/>
    <w:rsid w:val="00BA2D2C"/>
    <w:rsid w:val="00BA4151"/>
    <w:rsid w:val="00BA59F4"/>
    <w:rsid w:val="00BB2C12"/>
    <w:rsid w:val="00BB2CCF"/>
    <w:rsid w:val="00BB5153"/>
    <w:rsid w:val="00BB6C04"/>
    <w:rsid w:val="00BB7B05"/>
    <w:rsid w:val="00BC06A2"/>
    <w:rsid w:val="00BC1E2E"/>
    <w:rsid w:val="00BC23D7"/>
    <w:rsid w:val="00BC32AB"/>
    <w:rsid w:val="00BC338F"/>
    <w:rsid w:val="00BC35B9"/>
    <w:rsid w:val="00BC393C"/>
    <w:rsid w:val="00BC559C"/>
    <w:rsid w:val="00BC76B8"/>
    <w:rsid w:val="00BD6A38"/>
    <w:rsid w:val="00BE7AC7"/>
    <w:rsid w:val="00BF1BE4"/>
    <w:rsid w:val="00BF71B2"/>
    <w:rsid w:val="00C0361B"/>
    <w:rsid w:val="00C04A1F"/>
    <w:rsid w:val="00C061B7"/>
    <w:rsid w:val="00C063C4"/>
    <w:rsid w:val="00C06693"/>
    <w:rsid w:val="00C10488"/>
    <w:rsid w:val="00C117F8"/>
    <w:rsid w:val="00C1463F"/>
    <w:rsid w:val="00C17A6B"/>
    <w:rsid w:val="00C21066"/>
    <w:rsid w:val="00C32179"/>
    <w:rsid w:val="00C43FA6"/>
    <w:rsid w:val="00C45481"/>
    <w:rsid w:val="00C51E74"/>
    <w:rsid w:val="00C52FB4"/>
    <w:rsid w:val="00C53D77"/>
    <w:rsid w:val="00C57C1E"/>
    <w:rsid w:val="00C61410"/>
    <w:rsid w:val="00C70329"/>
    <w:rsid w:val="00C7247D"/>
    <w:rsid w:val="00C752B8"/>
    <w:rsid w:val="00C76B31"/>
    <w:rsid w:val="00C7794E"/>
    <w:rsid w:val="00C77A99"/>
    <w:rsid w:val="00C84A8F"/>
    <w:rsid w:val="00C864DF"/>
    <w:rsid w:val="00C90D9C"/>
    <w:rsid w:val="00C93A7B"/>
    <w:rsid w:val="00C93BCB"/>
    <w:rsid w:val="00C96539"/>
    <w:rsid w:val="00C96DE1"/>
    <w:rsid w:val="00CA445A"/>
    <w:rsid w:val="00CA4A6B"/>
    <w:rsid w:val="00CA4C55"/>
    <w:rsid w:val="00CA4F5E"/>
    <w:rsid w:val="00CB593D"/>
    <w:rsid w:val="00CB6F1A"/>
    <w:rsid w:val="00CC1C2A"/>
    <w:rsid w:val="00CD1E99"/>
    <w:rsid w:val="00CD2DF4"/>
    <w:rsid w:val="00CD3533"/>
    <w:rsid w:val="00CD3758"/>
    <w:rsid w:val="00CD613A"/>
    <w:rsid w:val="00CD6FC5"/>
    <w:rsid w:val="00CE059B"/>
    <w:rsid w:val="00CE0FD1"/>
    <w:rsid w:val="00CE1030"/>
    <w:rsid w:val="00CE21C2"/>
    <w:rsid w:val="00CE3C4B"/>
    <w:rsid w:val="00CE6F7D"/>
    <w:rsid w:val="00CF0A0B"/>
    <w:rsid w:val="00D10C41"/>
    <w:rsid w:val="00D11692"/>
    <w:rsid w:val="00D132E8"/>
    <w:rsid w:val="00D15E0E"/>
    <w:rsid w:val="00D1608B"/>
    <w:rsid w:val="00D210D3"/>
    <w:rsid w:val="00D26AA8"/>
    <w:rsid w:val="00D27B4F"/>
    <w:rsid w:val="00D3054D"/>
    <w:rsid w:val="00D3084E"/>
    <w:rsid w:val="00D31FE3"/>
    <w:rsid w:val="00D3354D"/>
    <w:rsid w:val="00D33B59"/>
    <w:rsid w:val="00D35911"/>
    <w:rsid w:val="00D364ED"/>
    <w:rsid w:val="00D40951"/>
    <w:rsid w:val="00D436A0"/>
    <w:rsid w:val="00D44DD1"/>
    <w:rsid w:val="00D47028"/>
    <w:rsid w:val="00D5213B"/>
    <w:rsid w:val="00D521F6"/>
    <w:rsid w:val="00D5322B"/>
    <w:rsid w:val="00D549F8"/>
    <w:rsid w:val="00D65B28"/>
    <w:rsid w:val="00D67ECC"/>
    <w:rsid w:val="00D701FC"/>
    <w:rsid w:val="00D72CF5"/>
    <w:rsid w:val="00D73F10"/>
    <w:rsid w:val="00D80171"/>
    <w:rsid w:val="00D8322F"/>
    <w:rsid w:val="00D83527"/>
    <w:rsid w:val="00D90965"/>
    <w:rsid w:val="00D92E9D"/>
    <w:rsid w:val="00D96DE1"/>
    <w:rsid w:val="00DA189E"/>
    <w:rsid w:val="00DA4C83"/>
    <w:rsid w:val="00DB0320"/>
    <w:rsid w:val="00DB09C9"/>
    <w:rsid w:val="00DB1097"/>
    <w:rsid w:val="00DB3E1B"/>
    <w:rsid w:val="00DB60F8"/>
    <w:rsid w:val="00DB63C2"/>
    <w:rsid w:val="00DB7987"/>
    <w:rsid w:val="00DC0B33"/>
    <w:rsid w:val="00DC556A"/>
    <w:rsid w:val="00DC55EE"/>
    <w:rsid w:val="00DC7479"/>
    <w:rsid w:val="00DE1A4B"/>
    <w:rsid w:val="00DE1ACF"/>
    <w:rsid w:val="00DE1CA9"/>
    <w:rsid w:val="00DE2A90"/>
    <w:rsid w:val="00DE2E09"/>
    <w:rsid w:val="00DE3D21"/>
    <w:rsid w:val="00DE4038"/>
    <w:rsid w:val="00DE419B"/>
    <w:rsid w:val="00DE5F75"/>
    <w:rsid w:val="00DF3BD0"/>
    <w:rsid w:val="00DF5582"/>
    <w:rsid w:val="00E01637"/>
    <w:rsid w:val="00E02187"/>
    <w:rsid w:val="00E07C1A"/>
    <w:rsid w:val="00E112F1"/>
    <w:rsid w:val="00E213BF"/>
    <w:rsid w:val="00E26E07"/>
    <w:rsid w:val="00E301A0"/>
    <w:rsid w:val="00E32A61"/>
    <w:rsid w:val="00E32B0A"/>
    <w:rsid w:val="00E32F7A"/>
    <w:rsid w:val="00E35C9E"/>
    <w:rsid w:val="00E364F8"/>
    <w:rsid w:val="00E47300"/>
    <w:rsid w:val="00E47F2B"/>
    <w:rsid w:val="00E60A1B"/>
    <w:rsid w:val="00E67D75"/>
    <w:rsid w:val="00E731E1"/>
    <w:rsid w:val="00E74B6C"/>
    <w:rsid w:val="00E76830"/>
    <w:rsid w:val="00E82315"/>
    <w:rsid w:val="00E83A77"/>
    <w:rsid w:val="00E84170"/>
    <w:rsid w:val="00E90904"/>
    <w:rsid w:val="00E90FCB"/>
    <w:rsid w:val="00E93577"/>
    <w:rsid w:val="00E976E5"/>
    <w:rsid w:val="00EA34E1"/>
    <w:rsid w:val="00EA3C52"/>
    <w:rsid w:val="00EA40F2"/>
    <w:rsid w:val="00EB27D2"/>
    <w:rsid w:val="00EB36C4"/>
    <w:rsid w:val="00EB6A25"/>
    <w:rsid w:val="00EB6FA4"/>
    <w:rsid w:val="00EC29BD"/>
    <w:rsid w:val="00EC43E7"/>
    <w:rsid w:val="00EC7C34"/>
    <w:rsid w:val="00ED2614"/>
    <w:rsid w:val="00ED3A73"/>
    <w:rsid w:val="00ED5A1B"/>
    <w:rsid w:val="00EE34D7"/>
    <w:rsid w:val="00EE5D7A"/>
    <w:rsid w:val="00EE666F"/>
    <w:rsid w:val="00EF38B1"/>
    <w:rsid w:val="00EF6FF4"/>
    <w:rsid w:val="00EF72CA"/>
    <w:rsid w:val="00F00187"/>
    <w:rsid w:val="00F0190B"/>
    <w:rsid w:val="00F02700"/>
    <w:rsid w:val="00F03797"/>
    <w:rsid w:val="00F03B60"/>
    <w:rsid w:val="00F07B69"/>
    <w:rsid w:val="00F12E79"/>
    <w:rsid w:val="00F16571"/>
    <w:rsid w:val="00F26182"/>
    <w:rsid w:val="00F26703"/>
    <w:rsid w:val="00F351F0"/>
    <w:rsid w:val="00F360F4"/>
    <w:rsid w:val="00F37078"/>
    <w:rsid w:val="00F44A43"/>
    <w:rsid w:val="00F45F4B"/>
    <w:rsid w:val="00F4681F"/>
    <w:rsid w:val="00F51C53"/>
    <w:rsid w:val="00F52D15"/>
    <w:rsid w:val="00F576D5"/>
    <w:rsid w:val="00F603C3"/>
    <w:rsid w:val="00F65B97"/>
    <w:rsid w:val="00F66997"/>
    <w:rsid w:val="00F66D93"/>
    <w:rsid w:val="00F70FA6"/>
    <w:rsid w:val="00F72737"/>
    <w:rsid w:val="00F81C12"/>
    <w:rsid w:val="00F8231A"/>
    <w:rsid w:val="00F82A4B"/>
    <w:rsid w:val="00F85D59"/>
    <w:rsid w:val="00F8748D"/>
    <w:rsid w:val="00F9414C"/>
    <w:rsid w:val="00F95BFB"/>
    <w:rsid w:val="00F96B78"/>
    <w:rsid w:val="00F96B7F"/>
    <w:rsid w:val="00FA3F4B"/>
    <w:rsid w:val="00FA48BF"/>
    <w:rsid w:val="00FA4F63"/>
    <w:rsid w:val="00FA61BA"/>
    <w:rsid w:val="00FA7F63"/>
    <w:rsid w:val="00FB23BE"/>
    <w:rsid w:val="00FC3ED2"/>
    <w:rsid w:val="00FC71BE"/>
    <w:rsid w:val="00FC77C6"/>
    <w:rsid w:val="00FD640C"/>
    <w:rsid w:val="00FE0150"/>
    <w:rsid w:val="00FF06DD"/>
    <w:rsid w:val="00FF1FE6"/>
    <w:rsid w:val="00FF4F1A"/>
    <w:rsid w:val="00FF6D56"/>
  </w:rsids>
  <m:mathPr>
    <m:mathFont m:val="Cambria Math"/>
    <m:brkBin m:val="before"/>
    <m:brkBinSub m:val="--"/>
    <m:smallFrac m:val="off"/>
    <m:dispDef/>
    <m:lMargin m:val="0"/>
    <m:rMargin m:val="0"/>
    <m:defJc m:val="centerGroup"/>
    <m:wrapIndent m:val="1440"/>
    <m:intLim m:val="subSup"/>
    <m:naryLim m:val="undOvr"/>
  </m:mathPr>
  <w:uiCompat97To2003/>
  <w:themeFontLang w:val="en-N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NZ" w:eastAsia="en-N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annotation text" w:locked="1" w:semiHidden="0" w:uiPriority="0" w:unhideWhenUsed="0"/>
    <w:lsdException w:name="caption" w:locked="1" w:uiPriority="0" w:qFormat="1"/>
    <w:lsdException w:name="footnote reference" w:locked="1" w:semiHidden="0" w:uiPriority="0" w:unhideWhenUsed="0"/>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508"/>
    <w:pPr>
      <w:spacing w:before="113" w:after="113" w:line="288" w:lineRule="auto"/>
    </w:pPr>
    <w:rPr>
      <w:rFonts w:ascii="Verdana" w:hAnsi="Verdana" w:cs="Verdana"/>
      <w:color w:val="1C1C1C"/>
      <w:sz w:val="18"/>
      <w:szCs w:val="18"/>
      <w:lang w:eastAsia="en-US"/>
    </w:rPr>
  </w:style>
  <w:style w:type="paragraph" w:styleId="Heading1">
    <w:name w:val="heading 1"/>
    <w:basedOn w:val="Normal"/>
    <w:next w:val="Normal-RuleTB"/>
    <w:link w:val="Heading1Char"/>
    <w:uiPriority w:val="99"/>
    <w:qFormat/>
    <w:rsid w:val="004023E4"/>
    <w:pPr>
      <w:keepNext/>
      <w:spacing w:before="3402" w:after="60"/>
      <w:outlineLvl w:val="0"/>
    </w:pPr>
    <w:rPr>
      <w:color w:val="005A7A"/>
      <w:kern w:val="32"/>
      <w:sz w:val="56"/>
      <w:szCs w:val="56"/>
    </w:rPr>
  </w:style>
  <w:style w:type="paragraph" w:styleId="Heading2">
    <w:name w:val="heading 2"/>
    <w:basedOn w:val="Heading1"/>
    <w:next w:val="Normal"/>
    <w:link w:val="Heading2Char"/>
    <w:uiPriority w:val="99"/>
    <w:qFormat/>
    <w:rsid w:val="009C3CED"/>
    <w:pPr>
      <w:pBdr>
        <w:bottom w:val="double" w:sz="4" w:space="1" w:color="DDDDDD"/>
      </w:pBdr>
      <w:spacing w:before="340" w:after="737"/>
      <w:outlineLvl w:val="1"/>
    </w:pPr>
    <w:rPr>
      <w:sz w:val="42"/>
      <w:szCs w:val="42"/>
    </w:rPr>
  </w:style>
  <w:style w:type="paragraph" w:styleId="Heading3">
    <w:name w:val="heading 3"/>
    <w:basedOn w:val="Heading1"/>
    <w:next w:val="Normal"/>
    <w:link w:val="Heading3Char"/>
    <w:uiPriority w:val="99"/>
    <w:qFormat/>
    <w:rsid w:val="00B356CF"/>
    <w:pPr>
      <w:spacing w:before="227" w:after="40"/>
      <w:outlineLvl w:val="2"/>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023E4"/>
    <w:rPr>
      <w:rFonts w:ascii="Verdana" w:hAnsi="Verdana" w:cs="Verdana"/>
      <w:color w:val="005A7A"/>
      <w:kern w:val="32"/>
      <w:sz w:val="32"/>
      <w:szCs w:val="32"/>
      <w:lang w:val="en-NZ" w:eastAsia="en-US"/>
    </w:rPr>
  </w:style>
  <w:style w:type="character" w:customStyle="1" w:styleId="Heading2Char">
    <w:name w:val="Heading 2 Char"/>
    <w:basedOn w:val="DefaultParagraphFont"/>
    <w:link w:val="Heading2"/>
    <w:uiPriority w:val="99"/>
    <w:semiHidden/>
    <w:locked/>
    <w:rsid w:val="005D6065"/>
    <w:rPr>
      <w:rFonts w:ascii="Cambria" w:hAnsi="Cambria" w:cs="Cambria"/>
      <w:b/>
      <w:bCs/>
      <w:i/>
      <w:iCs/>
      <w:color w:val="1C1C1C"/>
      <w:sz w:val="28"/>
      <w:szCs w:val="28"/>
      <w:lang w:eastAsia="en-US"/>
    </w:rPr>
  </w:style>
  <w:style w:type="character" w:customStyle="1" w:styleId="Heading3Char">
    <w:name w:val="Heading 3 Char"/>
    <w:basedOn w:val="Heading1Char"/>
    <w:link w:val="Heading3"/>
    <w:uiPriority w:val="99"/>
    <w:locked/>
    <w:rsid w:val="00B356CF"/>
    <w:rPr>
      <w:sz w:val="26"/>
      <w:szCs w:val="26"/>
    </w:rPr>
  </w:style>
  <w:style w:type="paragraph" w:customStyle="1" w:styleId="BasicParagraph">
    <w:name w:val="[Basic Paragraph]"/>
    <w:basedOn w:val="Normal"/>
    <w:uiPriority w:val="99"/>
    <w:rsid w:val="00BC393C"/>
    <w:pPr>
      <w:autoSpaceDE w:val="0"/>
      <w:autoSpaceDN w:val="0"/>
      <w:adjustRightInd w:val="0"/>
      <w:spacing w:before="0" w:after="0"/>
      <w:textAlignment w:val="center"/>
    </w:pPr>
    <w:rPr>
      <w:rFonts w:ascii="Times-Roman" w:hAnsi="Times-Roman" w:cs="Times-Roman"/>
      <w:color w:val="000000"/>
      <w:sz w:val="24"/>
      <w:szCs w:val="24"/>
      <w:lang w:val="en-US"/>
    </w:rPr>
  </w:style>
  <w:style w:type="paragraph" w:customStyle="1" w:styleId="Smalltext">
    <w:name w:val="Small text"/>
    <w:basedOn w:val="Normal"/>
    <w:uiPriority w:val="99"/>
    <w:rsid w:val="00BC393C"/>
    <w:pPr>
      <w:spacing w:after="170"/>
    </w:pPr>
    <w:rPr>
      <w:color w:val="58595B"/>
      <w:spacing w:val="-3"/>
      <w:sz w:val="16"/>
      <w:szCs w:val="16"/>
    </w:rPr>
  </w:style>
  <w:style w:type="paragraph" w:customStyle="1" w:styleId="Heading-Paragraph">
    <w:name w:val="Heading - Paragraph"/>
    <w:basedOn w:val="Normal"/>
    <w:next w:val="Normal"/>
    <w:uiPriority w:val="99"/>
    <w:rsid w:val="00BC393C"/>
    <w:pPr>
      <w:suppressAutoHyphens/>
      <w:autoSpaceDE w:val="0"/>
      <w:autoSpaceDN w:val="0"/>
      <w:adjustRightInd w:val="0"/>
      <w:spacing w:after="40"/>
      <w:textAlignment w:val="center"/>
    </w:pPr>
    <w:rPr>
      <w:b/>
      <w:bCs/>
      <w:color w:val="58595B"/>
      <w:spacing w:val="-4"/>
      <w:lang w:val="en-US"/>
    </w:rPr>
  </w:style>
  <w:style w:type="paragraph" w:customStyle="1" w:styleId="Heading-Graph">
    <w:name w:val="Heading - Graph"/>
    <w:basedOn w:val="Normal"/>
    <w:uiPriority w:val="99"/>
    <w:rsid w:val="00EC43E7"/>
    <w:rPr>
      <w:sz w:val="22"/>
      <w:szCs w:val="22"/>
    </w:rPr>
  </w:style>
  <w:style w:type="paragraph" w:styleId="Header">
    <w:name w:val="header"/>
    <w:basedOn w:val="Normal"/>
    <w:link w:val="HeaderChar"/>
    <w:uiPriority w:val="99"/>
    <w:rsid w:val="00066270"/>
    <w:pPr>
      <w:tabs>
        <w:tab w:val="center" w:pos="4320"/>
        <w:tab w:val="right" w:pos="8640"/>
      </w:tabs>
    </w:pPr>
  </w:style>
  <w:style w:type="character" w:customStyle="1" w:styleId="HeaderChar">
    <w:name w:val="Header Char"/>
    <w:basedOn w:val="DefaultParagraphFont"/>
    <w:link w:val="Header"/>
    <w:uiPriority w:val="99"/>
    <w:semiHidden/>
    <w:locked/>
    <w:rsid w:val="005D6065"/>
    <w:rPr>
      <w:rFonts w:ascii="Verdana" w:hAnsi="Verdana" w:cs="Verdana"/>
      <w:color w:val="1C1C1C"/>
      <w:sz w:val="18"/>
      <w:szCs w:val="18"/>
      <w:lang w:eastAsia="en-US"/>
    </w:rPr>
  </w:style>
  <w:style w:type="paragraph" w:styleId="Footer">
    <w:name w:val="footer"/>
    <w:basedOn w:val="Normal"/>
    <w:link w:val="FooterChar"/>
    <w:uiPriority w:val="99"/>
    <w:rsid w:val="00066270"/>
    <w:pPr>
      <w:tabs>
        <w:tab w:val="center" w:pos="4320"/>
        <w:tab w:val="right" w:pos="8640"/>
      </w:tabs>
    </w:pPr>
  </w:style>
  <w:style w:type="character" w:customStyle="1" w:styleId="FooterChar">
    <w:name w:val="Footer Char"/>
    <w:basedOn w:val="DefaultParagraphFont"/>
    <w:link w:val="Footer"/>
    <w:uiPriority w:val="99"/>
    <w:semiHidden/>
    <w:locked/>
    <w:rsid w:val="005D6065"/>
    <w:rPr>
      <w:rFonts w:ascii="Verdana" w:hAnsi="Verdana" w:cs="Verdana"/>
      <w:color w:val="1C1C1C"/>
      <w:sz w:val="18"/>
      <w:szCs w:val="18"/>
      <w:lang w:eastAsia="en-US"/>
    </w:rPr>
  </w:style>
  <w:style w:type="paragraph" w:customStyle="1" w:styleId="Normal-bullet">
    <w:name w:val="Normal - bullet"/>
    <w:basedOn w:val="Normal"/>
    <w:uiPriority w:val="99"/>
    <w:rsid w:val="003514B4"/>
    <w:pPr>
      <w:numPr>
        <w:numId w:val="1"/>
      </w:numPr>
      <w:tabs>
        <w:tab w:val="left" w:pos="284"/>
      </w:tabs>
      <w:spacing w:before="40" w:after="40"/>
    </w:pPr>
    <w:rPr>
      <w:lang w:val="en-US"/>
    </w:rPr>
  </w:style>
  <w:style w:type="paragraph" w:customStyle="1" w:styleId="Normal-RuleTB">
    <w:name w:val="Normal - Rule TB"/>
    <w:basedOn w:val="Normal"/>
    <w:next w:val="Normal"/>
    <w:uiPriority w:val="99"/>
    <w:rsid w:val="00341754"/>
    <w:pPr>
      <w:pBdr>
        <w:top w:val="double" w:sz="2" w:space="4" w:color="DDDDDD"/>
        <w:bottom w:val="double" w:sz="2" w:space="1" w:color="DDDDDD"/>
      </w:pBdr>
    </w:pPr>
  </w:style>
  <w:style w:type="character" w:styleId="PageNumber">
    <w:name w:val="page number"/>
    <w:basedOn w:val="DefaultParagraphFont"/>
    <w:uiPriority w:val="99"/>
    <w:rsid w:val="008F74FC"/>
  </w:style>
  <w:style w:type="paragraph" w:customStyle="1" w:styleId="Heading1-White">
    <w:name w:val="Heading 1 - White"/>
    <w:basedOn w:val="Heading1"/>
    <w:next w:val="Normal-RuleTB-White"/>
    <w:uiPriority w:val="99"/>
    <w:rsid w:val="009348DC"/>
    <w:rPr>
      <w:color w:val="FFFFFF"/>
    </w:rPr>
  </w:style>
  <w:style w:type="paragraph" w:customStyle="1" w:styleId="Normal-RuleTB-White">
    <w:name w:val="Normal - Rule TB - White"/>
    <w:basedOn w:val="Normal-RuleTB"/>
    <w:uiPriority w:val="99"/>
    <w:rsid w:val="009348DC"/>
    <w:rPr>
      <w:color w:val="FFFFFF"/>
    </w:rPr>
  </w:style>
  <w:style w:type="paragraph" w:styleId="BalloonText">
    <w:name w:val="Balloon Text"/>
    <w:basedOn w:val="Normal"/>
    <w:link w:val="BalloonTextChar"/>
    <w:uiPriority w:val="99"/>
    <w:semiHidden/>
    <w:rsid w:val="006B5BA3"/>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6B5BA3"/>
    <w:rPr>
      <w:rFonts w:ascii="Tahoma" w:hAnsi="Tahoma" w:cs="Tahoma"/>
      <w:color w:val="1C1C1C"/>
      <w:sz w:val="16"/>
      <w:szCs w:val="16"/>
      <w:lang w:eastAsia="en-US"/>
    </w:rPr>
  </w:style>
  <w:style w:type="character" w:styleId="Hyperlink">
    <w:name w:val="Hyperlink"/>
    <w:basedOn w:val="DefaultParagraphFont"/>
    <w:uiPriority w:val="99"/>
    <w:rsid w:val="0015350A"/>
    <w:rPr>
      <w:color w:val="0000FF"/>
      <w:u w:val="single"/>
    </w:rPr>
  </w:style>
  <w:style w:type="paragraph" w:customStyle="1" w:styleId="KeyPointsBullet1">
    <w:name w:val="KeyPoints Bullet1"/>
    <w:basedOn w:val="Normal"/>
    <w:link w:val="KeyPointsBullet1CharChar"/>
    <w:uiPriority w:val="99"/>
    <w:rsid w:val="00E90FCB"/>
    <w:pPr>
      <w:numPr>
        <w:numId w:val="3"/>
      </w:numPr>
      <w:spacing w:before="40" w:after="40" w:line="240" w:lineRule="auto"/>
      <w:ind w:right="227"/>
    </w:pPr>
    <w:rPr>
      <w:color w:val="auto"/>
      <w:sz w:val="16"/>
      <w:szCs w:val="16"/>
      <w:lang w:val="en-AU" w:eastAsia="en-AU"/>
    </w:rPr>
  </w:style>
  <w:style w:type="character" w:customStyle="1" w:styleId="KeyPointsBullet1CharChar">
    <w:name w:val="KeyPoints Bullet1 Char Char"/>
    <w:basedOn w:val="DefaultParagraphFont"/>
    <w:link w:val="KeyPointsBullet1"/>
    <w:uiPriority w:val="99"/>
    <w:locked/>
    <w:rsid w:val="00E90FCB"/>
    <w:rPr>
      <w:rFonts w:ascii="Verdana" w:hAnsi="Verdana" w:cs="Verdana"/>
      <w:sz w:val="24"/>
      <w:szCs w:val="24"/>
      <w:lang w:val="en-AU" w:eastAsia="en-AU"/>
    </w:rPr>
  </w:style>
  <w:style w:type="paragraph" w:customStyle="1" w:styleId="KeyPointsHeading">
    <w:name w:val="KeyPointsHeading"/>
    <w:link w:val="KeyPointsHeadingCharChar"/>
    <w:uiPriority w:val="99"/>
    <w:rsid w:val="00E90FCB"/>
    <w:pPr>
      <w:spacing w:before="120" w:after="60"/>
    </w:pPr>
    <w:rPr>
      <w:rFonts w:ascii="Verdana" w:hAnsi="Verdana" w:cs="Verdana"/>
      <w:b/>
      <w:bCs/>
      <w:sz w:val="18"/>
      <w:szCs w:val="18"/>
      <w:u w:val="single" w:color="738DB1"/>
      <w:lang w:val="en-AU" w:eastAsia="en-AU"/>
    </w:rPr>
  </w:style>
  <w:style w:type="character" w:customStyle="1" w:styleId="KeyPointsHeadingCharChar">
    <w:name w:val="KeyPointsHeading Char Char"/>
    <w:basedOn w:val="DefaultParagraphFont"/>
    <w:link w:val="KeyPointsHeading"/>
    <w:uiPriority w:val="99"/>
    <w:locked/>
    <w:rsid w:val="00E90FCB"/>
    <w:rPr>
      <w:rFonts w:ascii="Verdana" w:hAnsi="Verdana" w:cs="Verdana"/>
      <w:b/>
      <w:bCs/>
      <w:sz w:val="18"/>
      <w:szCs w:val="18"/>
      <w:u w:val="single" w:color="738DB1"/>
      <w:lang w:val="en-AU" w:eastAsia="en-AU" w:bidi="ar-SA"/>
    </w:rPr>
  </w:style>
  <w:style w:type="paragraph" w:styleId="FootnoteText">
    <w:name w:val="footnote text"/>
    <w:basedOn w:val="Normal"/>
    <w:link w:val="FootnoteTextChar"/>
    <w:uiPriority w:val="99"/>
    <w:semiHidden/>
    <w:rsid w:val="00146B78"/>
    <w:pPr>
      <w:spacing w:before="0" w:after="0" w:line="240" w:lineRule="auto"/>
    </w:pPr>
    <w:rPr>
      <w:sz w:val="20"/>
      <w:szCs w:val="20"/>
    </w:rPr>
  </w:style>
  <w:style w:type="character" w:customStyle="1" w:styleId="FootnoteTextChar">
    <w:name w:val="Footnote Text Char"/>
    <w:basedOn w:val="DefaultParagraphFont"/>
    <w:link w:val="FootnoteText"/>
    <w:uiPriority w:val="99"/>
    <w:locked/>
    <w:rsid w:val="00146B78"/>
    <w:rPr>
      <w:rFonts w:ascii="Verdana" w:hAnsi="Verdana" w:cs="Verdana"/>
      <w:color w:val="1C1C1C"/>
      <w:lang w:eastAsia="en-US"/>
    </w:rPr>
  </w:style>
  <w:style w:type="character" w:styleId="FootnoteReference">
    <w:name w:val="footnote reference"/>
    <w:basedOn w:val="DefaultParagraphFont"/>
    <w:uiPriority w:val="99"/>
    <w:semiHidden/>
    <w:rsid w:val="00146B78"/>
    <w:rPr>
      <w:vertAlign w:val="superscript"/>
    </w:rPr>
  </w:style>
  <w:style w:type="table" w:styleId="TableClassic1">
    <w:name w:val="Table Classic 1"/>
    <w:basedOn w:val="TableNormal"/>
    <w:uiPriority w:val="99"/>
    <w:rsid w:val="00D3054D"/>
    <w:pPr>
      <w:spacing w:before="113" w:after="113" w:line="288" w:lineRule="auto"/>
    </w:pPr>
    <w:rPr>
      <w:rFonts w:ascii="Verdana" w:hAnsi="Verdana" w:cs="Verdana"/>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Paragraph">
    <w:name w:val="List Paragraph"/>
    <w:basedOn w:val="Normal"/>
    <w:uiPriority w:val="99"/>
    <w:qFormat/>
    <w:rsid w:val="00BA59F4"/>
    <w:pPr>
      <w:ind w:left="720"/>
    </w:pPr>
  </w:style>
  <w:style w:type="paragraph" w:customStyle="1" w:styleId="articletext">
    <w:name w:val="articletext"/>
    <w:basedOn w:val="Normal"/>
    <w:uiPriority w:val="99"/>
    <w:rsid w:val="00C10488"/>
    <w:pPr>
      <w:spacing w:before="100" w:beforeAutospacing="1" w:after="100" w:afterAutospacing="1" w:line="240" w:lineRule="auto"/>
    </w:pPr>
    <w:rPr>
      <w:color w:val="auto"/>
      <w:sz w:val="24"/>
      <w:szCs w:val="24"/>
      <w:lang w:eastAsia="en-NZ"/>
    </w:rPr>
  </w:style>
  <w:style w:type="paragraph" w:styleId="NormalWeb">
    <w:name w:val="Normal (Web)"/>
    <w:basedOn w:val="Normal"/>
    <w:uiPriority w:val="99"/>
    <w:rsid w:val="0016197E"/>
    <w:pPr>
      <w:spacing w:before="240" w:after="240" w:line="240" w:lineRule="auto"/>
    </w:pPr>
    <w:rPr>
      <w:color w:val="auto"/>
      <w:sz w:val="24"/>
      <w:szCs w:val="24"/>
      <w:lang w:eastAsia="en-NZ"/>
    </w:rPr>
  </w:style>
  <w:style w:type="character" w:customStyle="1" w:styleId="caps1">
    <w:name w:val="caps1"/>
    <w:basedOn w:val="DefaultParagraphFont"/>
    <w:uiPriority w:val="99"/>
    <w:rsid w:val="0016197E"/>
    <w:rPr>
      <w:sz w:val="22"/>
      <w:szCs w:val="22"/>
    </w:rPr>
  </w:style>
  <w:style w:type="character" w:styleId="CommentReference">
    <w:name w:val="annotation reference"/>
    <w:basedOn w:val="DefaultParagraphFont"/>
    <w:uiPriority w:val="99"/>
    <w:semiHidden/>
    <w:rsid w:val="001F423E"/>
    <w:rPr>
      <w:sz w:val="16"/>
      <w:szCs w:val="16"/>
    </w:rPr>
  </w:style>
  <w:style w:type="paragraph" w:styleId="CommentText">
    <w:name w:val="annotation text"/>
    <w:basedOn w:val="Normal"/>
    <w:link w:val="CommentTextChar"/>
    <w:uiPriority w:val="99"/>
    <w:semiHidden/>
    <w:rsid w:val="001F423E"/>
    <w:rPr>
      <w:sz w:val="20"/>
      <w:szCs w:val="20"/>
    </w:rPr>
  </w:style>
  <w:style w:type="character" w:customStyle="1" w:styleId="CommentTextChar">
    <w:name w:val="Comment Text Char"/>
    <w:basedOn w:val="DefaultParagraphFont"/>
    <w:link w:val="CommentText"/>
    <w:uiPriority w:val="99"/>
    <w:locked/>
    <w:rsid w:val="001F423E"/>
    <w:rPr>
      <w:rFonts w:ascii="Verdana" w:hAnsi="Verdana" w:cs="Verdana"/>
      <w:color w:val="1C1C1C"/>
      <w:lang w:eastAsia="en-US"/>
    </w:rPr>
  </w:style>
  <w:style w:type="table" w:styleId="TableGrid">
    <w:name w:val="Table Grid"/>
    <w:basedOn w:val="TableNormal"/>
    <w:uiPriority w:val="99"/>
    <w:rsid w:val="006F66E6"/>
    <w:rPr>
      <w:rFonts w:ascii="Verdana" w:hAnsi="Verdana" w:cs="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99208673">
      <w:marLeft w:val="0"/>
      <w:marRight w:val="0"/>
      <w:marTop w:val="0"/>
      <w:marBottom w:val="0"/>
      <w:divBdr>
        <w:top w:val="none" w:sz="0" w:space="0" w:color="auto"/>
        <w:left w:val="none" w:sz="0" w:space="0" w:color="auto"/>
        <w:bottom w:val="none" w:sz="0" w:space="0" w:color="auto"/>
        <w:right w:val="none" w:sz="0" w:space="0" w:color="auto"/>
      </w:divBdr>
    </w:div>
    <w:div w:id="2099208674">
      <w:marLeft w:val="0"/>
      <w:marRight w:val="0"/>
      <w:marTop w:val="0"/>
      <w:marBottom w:val="0"/>
      <w:divBdr>
        <w:top w:val="none" w:sz="0" w:space="0" w:color="auto"/>
        <w:left w:val="none" w:sz="0" w:space="0" w:color="auto"/>
        <w:bottom w:val="none" w:sz="0" w:space="0" w:color="auto"/>
        <w:right w:val="none" w:sz="0" w:space="0" w:color="auto"/>
      </w:divBdr>
    </w:div>
    <w:div w:id="2099208675">
      <w:marLeft w:val="0"/>
      <w:marRight w:val="0"/>
      <w:marTop w:val="0"/>
      <w:marBottom w:val="0"/>
      <w:divBdr>
        <w:top w:val="none" w:sz="0" w:space="0" w:color="auto"/>
        <w:left w:val="none" w:sz="0" w:space="0" w:color="auto"/>
        <w:bottom w:val="none" w:sz="0" w:space="0" w:color="auto"/>
        <w:right w:val="none" w:sz="0" w:space="0" w:color="auto"/>
      </w:divBdr>
    </w:div>
    <w:div w:id="2099208676">
      <w:marLeft w:val="0"/>
      <w:marRight w:val="0"/>
      <w:marTop w:val="0"/>
      <w:marBottom w:val="0"/>
      <w:divBdr>
        <w:top w:val="none" w:sz="0" w:space="0" w:color="auto"/>
        <w:left w:val="none" w:sz="0" w:space="0" w:color="auto"/>
        <w:bottom w:val="none" w:sz="0" w:space="0" w:color="auto"/>
        <w:right w:val="none" w:sz="0" w:space="0" w:color="auto"/>
      </w:divBdr>
    </w:div>
    <w:div w:id="2099208678">
      <w:marLeft w:val="0"/>
      <w:marRight w:val="0"/>
      <w:marTop w:val="0"/>
      <w:marBottom w:val="0"/>
      <w:divBdr>
        <w:top w:val="none" w:sz="0" w:space="0" w:color="auto"/>
        <w:left w:val="none" w:sz="0" w:space="0" w:color="auto"/>
        <w:bottom w:val="none" w:sz="0" w:space="0" w:color="auto"/>
        <w:right w:val="none" w:sz="0" w:space="0" w:color="auto"/>
      </w:divBdr>
    </w:div>
    <w:div w:id="2099208679">
      <w:marLeft w:val="0"/>
      <w:marRight w:val="0"/>
      <w:marTop w:val="0"/>
      <w:marBottom w:val="0"/>
      <w:divBdr>
        <w:top w:val="none" w:sz="0" w:space="0" w:color="auto"/>
        <w:left w:val="none" w:sz="0" w:space="0" w:color="auto"/>
        <w:bottom w:val="none" w:sz="0" w:space="0" w:color="auto"/>
        <w:right w:val="none" w:sz="0" w:space="0" w:color="auto"/>
      </w:divBdr>
    </w:div>
    <w:div w:id="2099208680">
      <w:marLeft w:val="0"/>
      <w:marRight w:val="0"/>
      <w:marTop w:val="0"/>
      <w:marBottom w:val="0"/>
      <w:divBdr>
        <w:top w:val="none" w:sz="0" w:space="0" w:color="auto"/>
        <w:left w:val="none" w:sz="0" w:space="0" w:color="auto"/>
        <w:bottom w:val="none" w:sz="0" w:space="0" w:color="auto"/>
        <w:right w:val="none" w:sz="0" w:space="0" w:color="auto"/>
      </w:divBdr>
    </w:div>
    <w:div w:id="2099208681">
      <w:marLeft w:val="0"/>
      <w:marRight w:val="0"/>
      <w:marTop w:val="0"/>
      <w:marBottom w:val="0"/>
      <w:divBdr>
        <w:top w:val="none" w:sz="0" w:space="0" w:color="auto"/>
        <w:left w:val="none" w:sz="0" w:space="0" w:color="auto"/>
        <w:bottom w:val="none" w:sz="0" w:space="0" w:color="auto"/>
        <w:right w:val="none" w:sz="0" w:space="0" w:color="auto"/>
      </w:divBdr>
    </w:div>
    <w:div w:id="2099208682">
      <w:marLeft w:val="0"/>
      <w:marRight w:val="0"/>
      <w:marTop w:val="0"/>
      <w:marBottom w:val="0"/>
      <w:divBdr>
        <w:top w:val="none" w:sz="0" w:space="0" w:color="auto"/>
        <w:left w:val="none" w:sz="0" w:space="0" w:color="auto"/>
        <w:bottom w:val="none" w:sz="0" w:space="0" w:color="auto"/>
        <w:right w:val="none" w:sz="0" w:space="0" w:color="auto"/>
      </w:divBdr>
      <w:divsChild>
        <w:div w:id="2099208687">
          <w:marLeft w:val="0"/>
          <w:marRight w:val="0"/>
          <w:marTop w:val="0"/>
          <w:marBottom w:val="0"/>
          <w:divBdr>
            <w:top w:val="none" w:sz="0" w:space="0" w:color="auto"/>
            <w:left w:val="none" w:sz="0" w:space="0" w:color="auto"/>
            <w:bottom w:val="none" w:sz="0" w:space="0" w:color="auto"/>
            <w:right w:val="none" w:sz="0" w:space="0" w:color="auto"/>
          </w:divBdr>
          <w:divsChild>
            <w:div w:id="209920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208683">
      <w:marLeft w:val="0"/>
      <w:marRight w:val="0"/>
      <w:marTop w:val="0"/>
      <w:marBottom w:val="0"/>
      <w:divBdr>
        <w:top w:val="none" w:sz="0" w:space="0" w:color="auto"/>
        <w:left w:val="none" w:sz="0" w:space="0" w:color="auto"/>
        <w:bottom w:val="none" w:sz="0" w:space="0" w:color="auto"/>
        <w:right w:val="none" w:sz="0" w:space="0" w:color="auto"/>
      </w:divBdr>
    </w:div>
    <w:div w:id="2099208684">
      <w:marLeft w:val="0"/>
      <w:marRight w:val="0"/>
      <w:marTop w:val="0"/>
      <w:marBottom w:val="0"/>
      <w:divBdr>
        <w:top w:val="none" w:sz="0" w:space="0" w:color="auto"/>
        <w:left w:val="none" w:sz="0" w:space="0" w:color="auto"/>
        <w:bottom w:val="none" w:sz="0" w:space="0" w:color="auto"/>
        <w:right w:val="none" w:sz="0" w:space="0" w:color="auto"/>
      </w:divBdr>
    </w:div>
    <w:div w:id="2099208685">
      <w:marLeft w:val="0"/>
      <w:marRight w:val="0"/>
      <w:marTop w:val="0"/>
      <w:marBottom w:val="0"/>
      <w:divBdr>
        <w:top w:val="none" w:sz="0" w:space="0" w:color="auto"/>
        <w:left w:val="none" w:sz="0" w:space="0" w:color="auto"/>
        <w:bottom w:val="none" w:sz="0" w:space="0" w:color="auto"/>
        <w:right w:val="none" w:sz="0" w:space="0" w:color="auto"/>
      </w:divBdr>
    </w:div>
    <w:div w:id="2099208686">
      <w:marLeft w:val="0"/>
      <w:marRight w:val="0"/>
      <w:marTop w:val="0"/>
      <w:marBottom w:val="0"/>
      <w:divBdr>
        <w:top w:val="none" w:sz="0" w:space="0" w:color="auto"/>
        <w:left w:val="none" w:sz="0" w:space="0" w:color="auto"/>
        <w:bottom w:val="none" w:sz="0" w:space="0" w:color="auto"/>
        <w:right w:val="none" w:sz="0" w:space="0" w:color="auto"/>
      </w:divBdr>
    </w:div>
    <w:div w:id="2099208688">
      <w:marLeft w:val="0"/>
      <w:marRight w:val="0"/>
      <w:marTop w:val="0"/>
      <w:marBottom w:val="0"/>
      <w:divBdr>
        <w:top w:val="none" w:sz="0" w:space="0" w:color="auto"/>
        <w:left w:val="none" w:sz="0" w:space="0" w:color="auto"/>
        <w:bottom w:val="none" w:sz="0" w:space="0" w:color="auto"/>
        <w:right w:val="none" w:sz="0" w:space="0" w:color="auto"/>
      </w:divBdr>
    </w:div>
    <w:div w:id="209920868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1788</Words>
  <Characters>10194</Characters>
  <Application>Microsoft Office Word</Application>
  <DocSecurity>0</DocSecurity>
  <Lines>84</Lines>
  <Paragraphs>23</Paragraphs>
  <ScaleCrop>false</ScaleCrop>
  <Company/>
  <LinksUpToDate>false</LinksUpToDate>
  <CharactersWithSpaces>11959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Macalister</dc:creator>
  <cp:keywords/>
  <dc:description/>
  <cp:lastModifiedBy>Philip Macalister</cp:lastModifiedBy>
  <cp:revision>2</cp:revision>
  <cp:lastPrinted>2011-09-04T02:27:00Z</cp:lastPrinted>
  <dcterms:created xsi:type="dcterms:W3CDTF">2011-09-11T05:18:00Z</dcterms:created>
  <dcterms:modified xsi:type="dcterms:W3CDTF">2011-09-11T05:18:00Z</dcterms:modified>
</cp:coreProperties>
</file>